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45FAF"/>
          <w:sz w:val="36"/>
        </w:rPr>
        <w:t>TradingWorkFlow</w:t>
      </w:r>
    </w:p>
    <w:p>
      <w:pPr>
        <w:jc w:val="center"/>
      </w:pPr>
      <w:r>
        <w:rPr>
          <w:b/>
          <w:color w:val="0B2E59"/>
          <w:sz w:val="60"/>
        </w:rPr>
        <w:t>TWF Order Domain &amp; Lifecycle Architecture</w:t>
      </w:r>
    </w:p>
    <w:p>
      <w:pPr>
        <w:jc w:val="center"/>
      </w:pPr>
      <w:r>
        <w:rPr>
          <w:color w:val="375578"/>
          <w:sz w:val="28"/>
        </w:rPr>
        <w:t>OE-1 — Canonical Model, Lifecycle, Persistence &amp; Relationships</w:t>
      </w:r>
    </w:p>
    <w:p>
      <w:pPr>
        <w:spacing w:before="480"/>
        <w:jc w:val="center"/>
        <w:shd w:fill="1E6BD6"/>
      </w:pPr>
      <w:r>
        <w:rPr>
          <w:b/>
          <w:color w:val="FFFFFF"/>
          <w:sz w:val="24"/>
        </w:rPr>
        <w:t>Design for Implementation</w:t>
      </w:r>
    </w:p>
    <w:p>
      <w:pPr>
        <w:spacing w:before="400"/>
        <w:jc w:val="center"/>
      </w:pPr>
      <w:r>
        <w:rPr>
          <w:sz w:val="20"/>
        </w:rPr>
        <w:t>Version 0.1  |  14 October 2026</w:t>
      </w:r>
    </w:p>
    <w:p>
      <w:pPr>
        <w:spacing w:before="1800"/>
        <w:jc w:val="center"/>
      </w:pPr>
      <w:r>
        <w:rPr>
          <w:b/>
          <w:color w:val="505050"/>
          <w:sz w:val="22"/>
        </w:rPr>
        <w:t>Execution principle</w:t>
      </w:r>
    </w:p>
    <w:p>
      <w:pPr>
        <w:pStyle w:val="TWFCallout"/>
        <w:jc w:val="center"/>
      </w:pPr>
      <w:r>
        <w:t>No TWF subsystem may initiate a broker order except through the governed TWF execution path.</w:t>
      </w:r>
    </w:p>
    <w:p>
      <w:r>
        <w:br w:type="page"/>
      </w:r>
    </w:p>
    <w:p>
      <w:pPr>
        <w:pStyle w:val="Heading1"/>
      </w:pPr>
      <w:r>
        <w:t>1. Executive Summary</w:t>
      </w:r>
    </w:p>
    <w:p>
      <w:r>
        <w:t>OE-1 defines the canonical TWF Order domain before TWF introduces its durable execution queue. A TWF Order is a broker-neutral trading intent owned by TWF. It represents what TWF wants to trade, why it wants to trade, and the exact instrument and request semantics, while remaining independent of any single broker implementation.</w:t>
      </w:r>
    </w:p>
    <w:p>
      <w:r>
        <w:t>The architecture deliberately separates intent from execution. Manual trading, Watchlists, Scanner, Discovery, strategies, agents, and future webhooks all create or request TWF Orders. Those orders will later enter TWF Queue (OE-3), pass governance and authority checks, and only then reach Broker V2 (OE-4). Broker truth remains authoritative for broker acceptance, fills, rejections, cancellations, and reconciliation.</w:t>
      </w:r>
    </w:p>
    <w:p>
      <w:pPr>
        <w:pStyle w:val="TWFCallout"/>
      </w:pPr>
      <w:r>
        <w:t>OE-1 does not move the New Order UI, implement Queue, or redesign the ticket. It defines the constitution that those later capabilities must obey.</w:t>
      </w:r>
    </w:p>
    <w:p>
      <w:pPr>
        <w:pStyle w:val="Heading2"/>
      </w:pPr>
      <w:r>
        <w:t>1.1 Objectives</w:t>
      </w:r>
    </w:p>
    <w:p>
      <w:pPr>
        <w:pStyle w:val="ListBullet"/>
        <w:spacing w:after="60"/>
      </w:pPr>
      <w:r>
        <w:t>Define a broker-neutral TWF Order entity and immutable identity.</w:t>
      </w:r>
    </w:p>
    <w:p>
      <w:pPr>
        <w:pStyle w:val="ListBullet"/>
        <w:spacing w:after="60"/>
      </w:pPr>
      <w:r>
        <w:t>Support Equity, Futures and Options with exact canonical instrument identity.</w:t>
      </w:r>
    </w:p>
    <w:p>
      <w:pPr>
        <w:pStyle w:val="ListBullet"/>
        <w:spacing w:after="60"/>
      </w:pPr>
      <w:r>
        <w:t>Define lifecycle states, legal transitions and invariants.</w:t>
      </w:r>
    </w:p>
    <w:p>
      <w:pPr>
        <w:pStyle w:val="ListBullet"/>
        <w:spacing w:after="60"/>
      </w:pPr>
      <w:r>
        <w:t>Persist orders and their state/audit history durably.</w:t>
      </w:r>
    </w:p>
    <w:p>
      <w:pPr>
        <w:pStyle w:val="ListBullet"/>
        <w:spacing w:after="60"/>
      </w:pPr>
      <w:r>
        <w:t>Capture provenance so every order can be traced to its source.</w:t>
      </w:r>
    </w:p>
    <w:p>
      <w:pPr>
        <w:pStyle w:val="ListBullet"/>
        <w:spacing w:after="60"/>
      </w:pPr>
      <w:r>
        <w:t>Create a future-safe model for SL, TP, max loss/profit, conditional execution, automation and multi-leg relationships without implementing those features yet.</w:t>
      </w:r>
    </w:p>
    <w:p>
      <w:pPr>
        <w:pStyle w:val="Heading2"/>
      </w:pPr>
      <w:r>
        <w:t>1.2 Non-goals for OE-1</w:t>
      </w:r>
    </w:p>
    <w:p>
      <w:pPr>
        <w:pStyle w:val="ListBullet"/>
        <w:spacing w:after="60"/>
      </w:pPr>
      <w:r>
        <w:t>No New Order UI migration yet (planned for OE-2).</w:t>
      </w:r>
    </w:p>
    <w:p>
      <w:pPr>
        <w:pStyle w:val="ListBullet"/>
        <w:spacing w:after="60"/>
      </w:pPr>
      <w:r>
        <w:t>No execution queue implementation yet (planned for OE-3).</w:t>
      </w:r>
    </w:p>
    <w:p>
      <w:pPr>
        <w:pStyle w:val="ListBullet"/>
        <w:spacing w:after="60"/>
      </w:pPr>
      <w:r>
        <w:t>No Queue → Broker bridge yet (planned for OE-4).</w:t>
      </w:r>
    </w:p>
    <w:p>
      <w:pPr>
        <w:pStyle w:val="ListBullet"/>
        <w:spacing w:after="60"/>
      </w:pPr>
      <w:r>
        <w:t>No TWF Position or Alert lifecycle implementation yet.</w:t>
      </w:r>
    </w:p>
    <w:p>
      <w:pPr>
        <w:pStyle w:val="ListBullet"/>
        <w:spacing w:after="60"/>
      </w:pPr>
      <w:r>
        <w:t>No advanced SL/TP/trailing/conditional execution engine in V1.</w:t>
      </w:r>
    </w:p>
    <w:p>
      <w:pPr>
        <w:pStyle w:val="ListBullet"/>
        <w:spacing w:after="60"/>
      </w:pPr>
      <w:r>
        <w:t>No direct integration from Scanner, Watchlist, webhook, strategy or agent to broker execution.</w:t>
      </w:r>
    </w:p>
    <w:p>
      <w:pPr>
        <w:sectPr>
          <w:headerReference w:type="default" r:id="rId9"/>
          <w:footerReference w:type="default" r:id="rId10"/>
          <w:pgSz w:w="12240" w:h="15840"/>
          <w:pgMar w:top="936" w:right="1008" w:bottom="936" w:left="1008" w:header="720" w:footer="720" w:gutter="0"/>
          <w:cols w:space="720"/>
          <w:docGrid w:linePitch="360"/>
        </w:sectPr>
      </w:pPr>
    </w:p>
    <w:p>
      <w:pPr>
        <w:spacing w:after="40"/>
        <w:jc w:val="center"/>
      </w:pPr>
      <w:r>
        <w:drawing>
          <wp:inline xmlns:a="http://schemas.openxmlformats.org/drawingml/2006/main" xmlns:pic="http://schemas.openxmlformats.org/drawingml/2006/picture">
            <wp:extent cx="6720840" cy="6141987"/>
            <wp:docPr id="1" name="Picture 1"/>
            <wp:cNvGraphicFramePr>
              <a:graphicFrameLocks noChangeAspect="1"/>
            </wp:cNvGraphicFramePr>
            <a:graphic>
              <a:graphicData uri="http://schemas.openxmlformats.org/drawingml/2006/picture">
                <pic:pic>
                  <pic:nvPicPr>
                    <pic:cNvPr id="0" name="a_detailed_infographic_diagram_on_a_white_backgrou.png"/>
                    <pic:cNvPicPr/>
                  </pic:nvPicPr>
                  <pic:blipFill>
                    <a:blip r:embed="rId11"/>
                    <a:stretch>
                      <a:fillRect/>
                    </a:stretch>
                  </pic:blipFill>
                  <pic:spPr>
                    <a:xfrm>
                      <a:off x="0" y="0"/>
                      <a:ext cx="6720840" cy="6141987"/>
                    </a:xfrm>
                    <a:prstGeom prst="rect"/>
                  </pic:spPr>
                </pic:pic>
              </a:graphicData>
            </a:graphic>
          </wp:inline>
        </w:drawing>
      </w:r>
    </w:p>
    <w:p>
      <w:pPr>
        <w:jc w:val="center"/>
      </w:pPr>
      <w:r>
        <w:rPr>
          <w:i/>
          <w:color w:val="5A5A5A"/>
          <w:sz w:val="16"/>
        </w:rPr>
        <w:t>Figure 1 — TWF Order Domain &amp; Lifecycle Architecture (EWD).</w:t>
      </w:r>
    </w:p>
    <w:p>
      <w:pPr>
        <w:sectPr>
          <w:pgSz w:w="15840" w:h="12240" w:orient="landscape"/>
          <w:pgMar w:top="504" w:right="504" w:bottom="504" w:left="504" w:header="720" w:footer="720" w:gutter="0"/>
          <w:cols w:space="720"/>
          <w:docGrid w:linePitch="360"/>
        </w:sectPr>
      </w:pPr>
    </w:p>
    <w:p>
      <w:pPr>
        <w:pStyle w:val="Heading1"/>
      </w:pPr>
      <w:r>
        <w:t>2. Architectural Principles</w:t>
      </w:r>
    </w:p>
    <w:p>
      <w:r>
        <w:rPr>
          <w:b/>
          <w:color w:val="1F4E79"/>
        </w:rPr>
        <w:t xml:space="preserve">Broker-neutral domain. </w:t>
      </w:r>
      <w:r>
        <w:t>TWF Order is not a Zerodha, Dhan, Fyers or other broker order DTO. Broker mapping happens only at the execution boundary.</w:t>
      </w:r>
    </w:p>
    <w:p>
      <w:r>
        <w:rPr>
          <w:b/>
          <w:color w:val="1F4E79"/>
        </w:rPr>
        <w:t xml:space="preserve">Exact instrument identity. </w:t>
      </w:r>
      <w:r>
        <w:t>Equity, Futures and Options must resolve to canonical, unambiguous instrument identity. Plain display symbols are insufficient for derivative execution.</w:t>
      </w:r>
    </w:p>
    <w:p>
      <w:r>
        <w:rPr>
          <w:b/>
          <w:color w:val="1F4E79"/>
        </w:rPr>
        <w:t xml:space="preserve">Intent is not execution. </w:t>
      </w:r>
      <w:r>
        <w:t>Creating a TWF Order does not mean it was queued, submitted, accepted or filled.</w:t>
      </w:r>
    </w:p>
    <w:p>
      <w:r>
        <w:rPr>
          <w:b/>
          <w:color w:val="1F4E79"/>
        </w:rPr>
        <w:t xml:space="preserve">Broker truth is authoritative. </w:t>
      </w:r>
      <w:r>
        <w:t>TWF may request execution, but broker acceptance/fill/rejection/cancellation states must come from Broker V2/reconciliation truth.</w:t>
      </w:r>
    </w:p>
    <w:p>
      <w:r>
        <w:rPr>
          <w:b/>
          <w:color w:val="1F4E79"/>
        </w:rPr>
        <w:t xml:space="preserve">Governed path only. </w:t>
      </w:r>
      <w:r>
        <w:t>No subsystem may bypass TWF Order → TWF Queue → governed execution → Broker V2.</w:t>
      </w:r>
    </w:p>
    <w:p>
      <w:r>
        <w:rPr>
          <w:b/>
          <w:color w:val="1F4E79"/>
        </w:rPr>
        <w:t xml:space="preserve">Durable auditability. </w:t>
      </w:r>
      <w:r>
        <w:t>Order identity, lifecycle transitions and provenance must survive process restarts.</w:t>
      </w:r>
    </w:p>
    <w:p>
      <w:r>
        <w:rPr>
          <w:b/>
          <w:color w:val="1F4E79"/>
        </w:rPr>
        <w:t xml:space="preserve">Safe extensibility. </w:t>
      </w:r>
      <w:r>
        <w:t>The V1 model must leave room for future SL/TP, max loss/profit, trailing, conditional orders, parent/child relations and automated authority.</w:t>
      </w:r>
    </w:p>
    <w:p>
      <w:r>
        <w:rPr>
          <w:b/>
          <w:color w:val="1F4E79"/>
        </w:rPr>
        <w:t xml:space="preserve">Explicit provenance. </w:t>
      </w:r>
      <w:r>
        <w:t>A manual action, Watchlist, Scanner run, DiscoveryCandidate, strategy, agent or webhook must remain identifiable as the source of the order.</w:t>
      </w:r>
    </w:p>
    <w:p>
      <w:pPr>
        <w:pStyle w:val="Heading1"/>
      </w:pPr>
      <w:r>
        <w:t>3. TWF Order Lifecycle</w:t>
      </w:r>
    </w:p>
    <w:p>
      <w:r>
        <w:t>The lifecycle intentionally distinguishes TWF validation, queue admission, broker submission and broker execution. The exact state names may be adjusted during implementation, but the semantic boundaries are normative.</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DCEBFA"/>
            <w:vAlign w:val="center"/>
            <w:tcBorders>
              <w:top w:val="single" w:sz="4" w:color="D9E2F3"/>
              <w:left w:val="single" w:sz="4" w:color="D9E2F3"/>
              <w:bottom w:val="single" w:sz="4" w:color="D9E2F3"/>
              <w:right w:val="single" w:sz="4" w:color="D9E2F3"/>
            </w:tcBorders>
          </w:tcPr>
          <w:p>
            <w:pPr>
              <w:spacing w:after="40"/>
            </w:pPr>
            <w:r>
              <w:rPr>
                <w:b/>
                <w:color w:val="0F325F"/>
                <w:sz w:val="18"/>
              </w:rPr>
              <w:t>State</w:t>
            </w:r>
          </w:p>
        </w:tc>
        <w:tc>
          <w:tcPr>
            <w:tcW w:type="dxa" w:w="5616"/>
            <w:shd w:fill="DCEBFA"/>
            <w:vAlign w:val="center"/>
            <w:tcBorders>
              <w:top w:val="single" w:sz="4" w:color="D9E2F3"/>
              <w:left w:val="single" w:sz="4" w:color="D9E2F3"/>
              <w:bottom w:val="single" w:sz="4" w:color="D9E2F3"/>
              <w:right w:val="single" w:sz="4" w:color="D9E2F3"/>
            </w:tcBorders>
          </w:tcPr>
          <w:p>
            <w:pPr>
              <w:spacing w:after="40"/>
            </w:pPr>
            <w:r>
              <w:rPr>
                <w:b/>
                <w:color w:val="0F325F"/>
                <w:sz w:val="18"/>
              </w:rPr>
              <w:t>Meaning</w:t>
            </w:r>
          </w:p>
        </w:tc>
        <w:tc>
          <w:tcPr>
            <w:tcW w:type="dxa" w:w="2880"/>
            <w:shd w:fill="DCEBFA"/>
            <w:vAlign w:val="center"/>
            <w:tcBorders>
              <w:top w:val="single" w:sz="4" w:color="D9E2F3"/>
              <w:left w:val="single" w:sz="4" w:color="D9E2F3"/>
              <w:bottom w:val="single" w:sz="4" w:color="D9E2F3"/>
              <w:right w:val="single" w:sz="4" w:color="D9E2F3"/>
            </w:tcBorders>
          </w:tcPr>
          <w:p>
            <w:pPr>
              <w:spacing w:after="40"/>
            </w:pPr>
            <w:r>
              <w:rPr>
                <w:b/>
                <w:color w:val="0F325F"/>
                <w:sz w:val="18"/>
              </w:rPr>
              <w:t>Authority / Truth Source</w:t>
            </w:r>
          </w:p>
        </w:tc>
      </w:tr>
      <w:tr>
        <w:tc>
          <w:tcPr>
            <w:tcW w:type="dxa" w:w="2016"/>
            <w:vAlign w:val="top"/>
            <w:tcBorders>
              <w:top w:val="single" w:sz="4" w:color="D9E2F3"/>
              <w:left w:val="single" w:sz="4" w:color="D9E2F3"/>
              <w:bottom w:val="single" w:sz="4" w:color="D9E2F3"/>
              <w:right w:val="single" w:sz="4" w:color="D9E2F3"/>
            </w:tcBorders>
          </w:tcPr>
          <w:p>
            <w:pPr>
              <w:spacing w:after="40"/>
            </w:pPr>
            <w:r>
              <w:rPr>
                <w:sz w:val="18"/>
              </w:rPr>
              <w:t>DRAFT</w:t>
            </w:r>
          </w:p>
        </w:tc>
        <w:tc>
          <w:tcPr>
            <w:tcW w:type="dxa" w:w="5616"/>
            <w:vAlign w:val="top"/>
            <w:tcBorders>
              <w:top w:val="single" w:sz="4" w:color="D9E2F3"/>
              <w:left w:val="single" w:sz="4" w:color="D9E2F3"/>
              <w:bottom w:val="single" w:sz="4" w:color="D9E2F3"/>
              <w:right w:val="single" w:sz="4" w:color="D9E2F3"/>
            </w:tcBorders>
          </w:tcPr>
          <w:p>
            <w:pPr>
              <w:spacing w:after="40"/>
            </w:pPr>
            <w:r>
              <w:rPr>
                <w:sz w:val="18"/>
              </w:rPr>
              <w:t>Editable TWF trading intent. Not eligible for execution.</w:t>
            </w:r>
          </w:p>
        </w:tc>
        <w:tc>
          <w:tcPr>
            <w:tcW w:type="dxa" w:w="2880"/>
            <w:vAlign w:val="top"/>
            <w:tcBorders>
              <w:top w:val="single" w:sz="4" w:color="D9E2F3"/>
              <w:left w:val="single" w:sz="4" w:color="D9E2F3"/>
              <w:bottom w:val="single" w:sz="4" w:color="D9E2F3"/>
              <w:right w:val="single" w:sz="4" w:color="D9E2F3"/>
            </w:tcBorders>
          </w:tcPr>
          <w:p>
            <w:pPr>
              <w:spacing w:after="40"/>
            </w:pPr>
            <w:r>
              <w:rPr>
                <w:sz w:val="18"/>
              </w:rPr>
              <w:t>TWF / initiating user or subsystem</w:t>
            </w:r>
          </w:p>
        </w:tc>
      </w:tr>
      <w:tr>
        <w:tc>
          <w:tcPr>
            <w:tcW w:type="dxa" w:w="2016"/>
            <w:vAlign w:val="top"/>
            <w:tcBorders>
              <w:top w:val="single" w:sz="4" w:color="D9E2F3"/>
              <w:left w:val="single" w:sz="4" w:color="D9E2F3"/>
              <w:bottom w:val="single" w:sz="4" w:color="D9E2F3"/>
              <w:right w:val="single" w:sz="4" w:color="D9E2F3"/>
            </w:tcBorders>
          </w:tcPr>
          <w:p>
            <w:pPr>
              <w:spacing w:after="40"/>
            </w:pPr>
            <w:r>
              <w:rPr>
                <w:sz w:val="18"/>
              </w:rPr>
              <w:t>READY</w:t>
            </w:r>
          </w:p>
        </w:tc>
        <w:tc>
          <w:tcPr>
            <w:tcW w:type="dxa" w:w="5616"/>
            <w:vAlign w:val="top"/>
            <w:tcBorders>
              <w:top w:val="single" w:sz="4" w:color="D9E2F3"/>
              <w:left w:val="single" w:sz="4" w:color="D9E2F3"/>
              <w:bottom w:val="single" w:sz="4" w:color="D9E2F3"/>
              <w:right w:val="single" w:sz="4" w:color="D9E2F3"/>
            </w:tcBorders>
          </w:tcPr>
          <w:p>
            <w:pPr>
              <w:spacing w:after="40"/>
            </w:pPr>
            <w:r>
              <w:rPr>
                <w:sz w:val="18"/>
              </w:rPr>
              <w:t>Valid and complete enough for queue admission.</w:t>
            </w:r>
          </w:p>
        </w:tc>
        <w:tc>
          <w:tcPr>
            <w:tcW w:type="dxa" w:w="2880"/>
            <w:vAlign w:val="top"/>
            <w:tcBorders>
              <w:top w:val="single" w:sz="4" w:color="D9E2F3"/>
              <w:left w:val="single" w:sz="4" w:color="D9E2F3"/>
              <w:bottom w:val="single" w:sz="4" w:color="D9E2F3"/>
              <w:right w:val="single" w:sz="4" w:color="D9E2F3"/>
            </w:tcBorders>
          </w:tcPr>
          <w:p>
            <w:pPr>
              <w:spacing w:after="40"/>
            </w:pPr>
            <w:r>
              <w:rPr>
                <w:sz w:val="18"/>
              </w:rPr>
              <w:t>TWF validation</w:t>
            </w:r>
          </w:p>
        </w:tc>
      </w:tr>
      <w:tr>
        <w:tc>
          <w:tcPr>
            <w:tcW w:type="dxa" w:w="2016"/>
            <w:vAlign w:val="top"/>
            <w:tcBorders>
              <w:top w:val="single" w:sz="4" w:color="D9E2F3"/>
              <w:left w:val="single" w:sz="4" w:color="D9E2F3"/>
              <w:bottom w:val="single" w:sz="4" w:color="D9E2F3"/>
              <w:right w:val="single" w:sz="4" w:color="D9E2F3"/>
            </w:tcBorders>
          </w:tcPr>
          <w:p>
            <w:pPr>
              <w:spacing w:after="40"/>
            </w:pPr>
            <w:r>
              <w:rPr>
                <w:sz w:val="18"/>
              </w:rPr>
              <w:t>QUEUED</w:t>
            </w:r>
          </w:p>
        </w:tc>
        <w:tc>
          <w:tcPr>
            <w:tcW w:type="dxa" w:w="5616"/>
            <w:vAlign w:val="top"/>
            <w:tcBorders>
              <w:top w:val="single" w:sz="4" w:color="D9E2F3"/>
              <w:left w:val="single" w:sz="4" w:color="D9E2F3"/>
              <w:bottom w:val="single" w:sz="4" w:color="D9E2F3"/>
              <w:right w:val="single" w:sz="4" w:color="D9E2F3"/>
            </w:tcBorders>
          </w:tcPr>
          <w:p>
            <w:pPr>
              <w:spacing w:after="40"/>
            </w:pPr>
            <w:r>
              <w:rPr>
                <w:sz w:val="18"/>
              </w:rPr>
              <w:t>Durably admitted to TWF Queue.</w:t>
            </w:r>
          </w:p>
        </w:tc>
        <w:tc>
          <w:tcPr>
            <w:tcW w:type="dxa" w:w="2880"/>
            <w:vAlign w:val="top"/>
            <w:tcBorders>
              <w:top w:val="single" w:sz="4" w:color="D9E2F3"/>
              <w:left w:val="single" w:sz="4" w:color="D9E2F3"/>
              <w:bottom w:val="single" w:sz="4" w:color="D9E2F3"/>
              <w:right w:val="single" w:sz="4" w:color="D9E2F3"/>
            </w:tcBorders>
          </w:tcPr>
          <w:p>
            <w:pPr>
              <w:spacing w:after="40"/>
            </w:pPr>
            <w:r>
              <w:rPr>
                <w:sz w:val="18"/>
              </w:rPr>
              <w:t>TWF Queue (OE-3)</w:t>
            </w:r>
          </w:p>
        </w:tc>
      </w:tr>
      <w:tr>
        <w:tc>
          <w:tcPr>
            <w:tcW w:type="dxa" w:w="2016"/>
            <w:vAlign w:val="top"/>
            <w:tcBorders>
              <w:top w:val="single" w:sz="4" w:color="D9E2F3"/>
              <w:left w:val="single" w:sz="4" w:color="D9E2F3"/>
              <w:bottom w:val="single" w:sz="4" w:color="D9E2F3"/>
              <w:right w:val="single" w:sz="4" w:color="D9E2F3"/>
            </w:tcBorders>
          </w:tcPr>
          <w:p>
            <w:pPr>
              <w:spacing w:after="40"/>
            </w:pPr>
            <w:r>
              <w:rPr>
                <w:sz w:val="18"/>
              </w:rPr>
              <w:t>SUBMITTING</w:t>
            </w:r>
          </w:p>
        </w:tc>
        <w:tc>
          <w:tcPr>
            <w:tcW w:type="dxa" w:w="5616"/>
            <w:vAlign w:val="top"/>
            <w:tcBorders>
              <w:top w:val="single" w:sz="4" w:color="D9E2F3"/>
              <w:left w:val="single" w:sz="4" w:color="D9E2F3"/>
              <w:bottom w:val="single" w:sz="4" w:color="D9E2F3"/>
              <w:right w:val="single" w:sz="4" w:color="D9E2F3"/>
            </w:tcBorders>
          </w:tcPr>
          <w:p>
            <w:pPr>
              <w:spacing w:after="40"/>
            </w:pPr>
            <w:r>
              <w:rPr>
                <w:sz w:val="18"/>
              </w:rPr>
              <w:t>Queue has begun broker submission.</w:t>
            </w:r>
          </w:p>
        </w:tc>
        <w:tc>
          <w:tcPr>
            <w:tcW w:type="dxa" w:w="2880"/>
            <w:vAlign w:val="top"/>
            <w:tcBorders>
              <w:top w:val="single" w:sz="4" w:color="D9E2F3"/>
              <w:left w:val="single" w:sz="4" w:color="D9E2F3"/>
              <w:bottom w:val="single" w:sz="4" w:color="D9E2F3"/>
              <w:right w:val="single" w:sz="4" w:color="D9E2F3"/>
            </w:tcBorders>
          </w:tcPr>
          <w:p>
            <w:pPr>
              <w:spacing w:after="40"/>
            </w:pPr>
            <w:r>
              <w:rPr>
                <w:sz w:val="18"/>
              </w:rPr>
              <w:t>TWF Queue / Broker bridge</w:t>
            </w:r>
          </w:p>
        </w:tc>
      </w:tr>
      <w:tr>
        <w:tc>
          <w:tcPr>
            <w:tcW w:type="dxa" w:w="2016"/>
            <w:vAlign w:val="top"/>
            <w:tcBorders>
              <w:top w:val="single" w:sz="4" w:color="D9E2F3"/>
              <w:left w:val="single" w:sz="4" w:color="D9E2F3"/>
              <w:bottom w:val="single" w:sz="4" w:color="D9E2F3"/>
              <w:right w:val="single" w:sz="4" w:color="D9E2F3"/>
            </w:tcBorders>
          </w:tcPr>
          <w:p>
            <w:pPr>
              <w:spacing w:after="40"/>
            </w:pPr>
            <w:r>
              <w:rPr>
                <w:sz w:val="18"/>
              </w:rPr>
              <w:t>BROKER_ACCEPTED</w:t>
            </w:r>
          </w:p>
        </w:tc>
        <w:tc>
          <w:tcPr>
            <w:tcW w:type="dxa" w:w="5616"/>
            <w:vAlign w:val="top"/>
            <w:tcBorders>
              <w:top w:val="single" w:sz="4" w:color="D9E2F3"/>
              <w:left w:val="single" w:sz="4" w:color="D9E2F3"/>
              <w:bottom w:val="single" w:sz="4" w:color="D9E2F3"/>
              <w:right w:val="single" w:sz="4" w:color="D9E2F3"/>
            </w:tcBorders>
          </w:tcPr>
          <w:p>
            <w:pPr>
              <w:spacing w:after="40"/>
            </w:pPr>
            <w:r>
              <w:rPr>
                <w:sz w:val="18"/>
              </w:rPr>
              <w:t>Broker acknowledged the order request.</w:t>
            </w:r>
          </w:p>
        </w:tc>
        <w:tc>
          <w:tcPr>
            <w:tcW w:type="dxa" w:w="2880"/>
            <w:vAlign w:val="top"/>
            <w:tcBorders>
              <w:top w:val="single" w:sz="4" w:color="D9E2F3"/>
              <w:left w:val="single" w:sz="4" w:color="D9E2F3"/>
              <w:bottom w:val="single" w:sz="4" w:color="D9E2F3"/>
              <w:right w:val="single" w:sz="4" w:color="D9E2F3"/>
            </w:tcBorders>
          </w:tcPr>
          <w:p>
            <w:pPr>
              <w:spacing w:after="40"/>
            </w:pPr>
            <w:r>
              <w:rPr>
                <w:sz w:val="18"/>
              </w:rPr>
              <w:t>Broker truth</w:t>
            </w:r>
          </w:p>
        </w:tc>
      </w:tr>
      <w:tr>
        <w:tc>
          <w:tcPr>
            <w:tcW w:type="dxa" w:w="2016"/>
            <w:vAlign w:val="top"/>
            <w:tcBorders>
              <w:top w:val="single" w:sz="4" w:color="D9E2F3"/>
              <w:left w:val="single" w:sz="4" w:color="D9E2F3"/>
              <w:bottom w:val="single" w:sz="4" w:color="D9E2F3"/>
              <w:right w:val="single" w:sz="4" w:color="D9E2F3"/>
            </w:tcBorders>
          </w:tcPr>
          <w:p>
            <w:pPr>
              <w:spacing w:after="40"/>
            </w:pPr>
            <w:r>
              <w:rPr>
                <w:sz w:val="18"/>
              </w:rPr>
              <w:t>PARTIALLY_FILLED</w:t>
            </w:r>
          </w:p>
        </w:tc>
        <w:tc>
          <w:tcPr>
            <w:tcW w:type="dxa" w:w="5616"/>
            <w:vAlign w:val="top"/>
            <w:tcBorders>
              <w:top w:val="single" w:sz="4" w:color="D9E2F3"/>
              <w:left w:val="single" w:sz="4" w:color="D9E2F3"/>
              <w:bottom w:val="single" w:sz="4" w:color="D9E2F3"/>
              <w:right w:val="single" w:sz="4" w:color="D9E2F3"/>
            </w:tcBorders>
          </w:tcPr>
          <w:p>
            <w:pPr>
              <w:spacing w:after="40"/>
            </w:pPr>
            <w:r>
              <w:rPr>
                <w:sz w:val="18"/>
              </w:rPr>
              <w:t>Broker confirms some quantity filled.</w:t>
            </w:r>
          </w:p>
        </w:tc>
        <w:tc>
          <w:tcPr>
            <w:tcW w:type="dxa" w:w="2880"/>
            <w:vAlign w:val="top"/>
            <w:tcBorders>
              <w:top w:val="single" w:sz="4" w:color="D9E2F3"/>
              <w:left w:val="single" w:sz="4" w:color="D9E2F3"/>
              <w:bottom w:val="single" w:sz="4" w:color="D9E2F3"/>
              <w:right w:val="single" w:sz="4" w:color="D9E2F3"/>
            </w:tcBorders>
          </w:tcPr>
          <w:p>
            <w:pPr>
              <w:spacing w:after="40"/>
            </w:pPr>
            <w:r>
              <w:rPr>
                <w:sz w:val="18"/>
              </w:rPr>
              <w:t>Broker truth / reconciliation</w:t>
            </w:r>
          </w:p>
        </w:tc>
      </w:tr>
      <w:tr>
        <w:tc>
          <w:tcPr>
            <w:tcW w:type="dxa" w:w="2016"/>
            <w:vAlign w:val="top"/>
            <w:tcBorders>
              <w:top w:val="single" w:sz="4" w:color="D9E2F3"/>
              <w:left w:val="single" w:sz="4" w:color="D9E2F3"/>
              <w:bottom w:val="single" w:sz="4" w:color="D9E2F3"/>
              <w:right w:val="single" w:sz="4" w:color="D9E2F3"/>
            </w:tcBorders>
          </w:tcPr>
          <w:p>
            <w:pPr>
              <w:spacing w:after="40"/>
            </w:pPr>
            <w:r>
              <w:rPr>
                <w:sz w:val="18"/>
              </w:rPr>
              <w:t>FILLED</w:t>
            </w:r>
          </w:p>
        </w:tc>
        <w:tc>
          <w:tcPr>
            <w:tcW w:type="dxa" w:w="5616"/>
            <w:vAlign w:val="top"/>
            <w:tcBorders>
              <w:top w:val="single" w:sz="4" w:color="D9E2F3"/>
              <w:left w:val="single" w:sz="4" w:color="D9E2F3"/>
              <w:bottom w:val="single" w:sz="4" w:color="D9E2F3"/>
              <w:right w:val="single" w:sz="4" w:color="D9E2F3"/>
            </w:tcBorders>
          </w:tcPr>
          <w:p>
            <w:pPr>
              <w:spacing w:after="40"/>
            </w:pPr>
            <w:r>
              <w:rPr>
                <w:sz w:val="18"/>
              </w:rPr>
              <w:t>Broker confirms complete fill.</w:t>
            </w:r>
          </w:p>
        </w:tc>
        <w:tc>
          <w:tcPr>
            <w:tcW w:type="dxa" w:w="2880"/>
            <w:vAlign w:val="top"/>
            <w:tcBorders>
              <w:top w:val="single" w:sz="4" w:color="D9E2F3"/>
              <w:left w:val="single" w:sz="4" w:color="D9E2F3"/>
              <w:bottom w:val="single" w:sz="4" w:color="D9E2F3"/>
              <w:right w:val="single" w:sz="4" w:color="D9E2F3"/>
            </w:tcBorders>
          </w:tcPr>
          <w:p>
            <w:pPr>
              <w:spacing w:after="40"/>
            </w:pPr>
            <w:r>
              <w:rPr>
                <w:sz w:val="18"/>
              </w:rPr>
              <w:t>Broker truth / reconciliation</w:t>
            </w:r>
          </w:p>
        </w:tc>
      </w:tr>
      <w:tr>
        <w:tc>
          <w:tcPr>
            <w:tcW w:type="dxa" w:w="2016"/>
            <w:vAlign w:val="top"/>
            <w:tcBorders>
              <w:top w:val="single" w:sz="4" w:color="D9E2F3"/>
              <w:left w:val="single" w:sz="4" w:color="D9E2F3"/>
              <w:bottom w:val="single" w:sz="4" w:color="D9E2F3"/>
              <w:right w:val="single" w:sz="4" w:color="D9E2F3"/>
            </w:tcBorders>
          </w:tcPr>
          <w:p>
            <w:pPr>
              <w:spacing w:after="40"/>
            </w:pPr>
            <w:r>
              <w:rPr>
                <w:sz w:val="18"/>
              </w:rPr>
              <w:t>BLOCKED</w:t>
            </w:r>
          </w:p>
        </w:tc>
        <w:tc>
          <w:tcPr>
            <w:tcW w:type="dxa" w:w="5616"/>
            <w:vAlign w:val="top"/>
            <w:tcBorders>
              <w:top w:val="single" w:sz="4" w:color="D9E2F3"/>
              <w:left w:val="single" w:sz="4" w:color="D9E2F3"/>
              <w:bottom w:val="single" w:sz="4" w:color="D9E2F3"/>
              <w:right w:val="single" w:sz="4" w:color="D9E2F3"/>
            </w:tcBorders>
          </w:tcPr>
          <w:p>
            <w:pPr>
              <w:spacing w:after="40"/>
            </w:pPr>
            <w:r>
              <w:rPr>
                <w:sz w:val="18"/>
              </w:rPr>
              <w:t>Cannot progress because rule, risk, authority or dependency blocks it.</w:t>
            </w:r>
          </w:p>
        </w:tc>
        <w:tc>
          <w:tcPr>
            <w:tcW w:type="dxa" w:w="2880"/>
            <w:vAlign w:val="top"/>
            <w:tcBorders>
              <w:top w:val="single" w:sz="4" w:color="D9E2F3"/>
              <w:left w:val="single" w:sz="4" w:color="D9E2F3"/>
              <w:bottom w:val="single" w:sz="4" w:color="D9E2F3"/>
              <w:right w:val="single" w:sz="4" w:color="D9E2F3"/>
            </w:tcBorders>
          </w:tcPr>
          <w:p>
            <w:pPr>
              <w:spacing w:after="40"/>
            </w:pPr>
            <w:r>
              <w:rPr>
                <w:sz w:val="18"/>
              </w:rPr>
              <w:t>TWF governance</w:t>
            </w:r>
          </w:p>
        </w:tc>
      </w:tr>
      <w:tr>
        <w:tc>
          <w:tcPr>
            <w:tcW w:type="dxa" w:w="2016"/>
            <w:vAlign w:val="top"/>
            <w:tcBorders>
              <w:top w:val="single" w:sz="4" w:color="D9E2F3"/>
              <w:left w:val="single" w:sz="4" w:color="D9E2F3"/>
              <w:bottom w:val="single" w:sz="4" w:color="D9E2F3"/>
              <w:right w:val="single" w:sz="4" w:color="D9E2F3"/>
            </w:tcBorders>
          </w:tcPr>
          <w:p>
            <w:pPr>
              <w:spacing w:after="40"/>
            </w:pPr>
            <w:r>
              <w:rPr>
                <w:sz w:val="18"/>
              </w:rPr>
              <w:t>REJECTED</w:t>
            </w:r>
          </w:p>
        </w:tc>
        <w:tc>
          <w:tcPr>
            <w:tcW w:type="dxa" w:w="5616"/>
            <w:vAlign w:val="top"/>
            <w:tcBorders>
              <w:top w:val="single" w:sz="4" w:color="D9E2F3"/>
              <w:left w:val="single" w:sz="4" w:color="D9E2F3"/>
              <w:bottom w:val="single" w:sz="4" w:color="D9E2F3"/>
              <w:right w:val="single" w:sz="4" w:color="D9E2F3"/>
            </w:tcBorders>
          </w:tcPr>
          <w:p>
            <w:pPr>
              <w:spacing w:after="40"/>
            </w:pPr>
            <w:r>
              <w:rPr>
                <w:sz w:val="18"/>
              </w:rPr>
              <w:t>Order cannot proceed due validation or broker rejection; reason required.</w:t>
            </w:r>
          </w:p>
        </w:tc>
        <w:tc>
          <w:tcPr>
            <w:tcW w:type="dxa" w:w="2880"/>
            <w:vAlign w:val="top"/>
            <w:tcBorders>
              <w:top w:val="single" w:sz="4" w:color="D9E2F3"/>
              <w:left w:val="single" w:sz="4" w:color="D9E2F3"/>
              <w:bottom w:val="single" w:sz="4" w:color="D9E2F3"/>
              <w:right w:val="single" w:sz="4" w:color="D9E2F3"/>
            </w:tcBorders>
          </w:tcPr>
          <w:p>
            <w:pPr>
              <w:spacing w:after="40"/>
            </w:pPr>
            <w:r>
              <w:rPr>
                <w:sz w:val="18"/>
              </w:rPr>
              <w:t>TWF or broker truth, distinguished by reason/source</w:t>
            </w:r>
          </w:p>
        </w:tc>
      </w:tr>
      <w:tr>
        <w:tc>
          <w:tcPr>
            <w:tcW w:type="dxa" w:w="2016"/>
            <w:vAlign w:val="top"/>
            <w:tcBorders>
              <w:top w:val="single" w:sz="4" w:color="D9E2F3"/>
              <w:left w:val="single" w:sz="4" w:color="D9E2F3"/>
              <w:bottom w:val="single" w:sz="4" w:color="D9E2F3"/>
              <w:right w:val="single" w:sz="4" w:color="D9E2F3"/>
            </w:tcBorders>
          </w:tcPr>
          <w:p>
            <w:pPr>
              <w:spacing w:after="40"/>
            </w:pPr>
            <w:r>
              <w:rPr>
                <w:sz w:val="18"/>
              </w:rPr>
              <w:t>CANCELLED</w:t>
            </w:r>
          </w:p>
        </w:tc>
        <w:tc>
          <w:tcPr>
            <w:tcW w:type="dxa" w:w="5616"/>
            <w:vAlign w:val="top"/>
            <w:tcBorders>
              <w:top w:val="single" w:sz="4" w:color="D9E2F3"/>
              <w:left w:val="single" w:sz="4" w:color="D9E2F3"/>
              <w:bottom w:val="single" w:sz="4" w:color="D9E2F3"/>
              <w:right w:val="single" w:sz="4" w:color="D9E2F3"/>
            </w:tcBorders>
          </w:tcPr>
          <w:p>
            <w:pPr>
              <w:spacing w:after="40"/>
            </w:pPr>
            <w:r>
              <w:rPr>
                <w:sz w:val="18"/>
              </w:rPr>
              <w:t>Order intentionally cancelled by permitted actor/system.</w:t>
            </w:r>
          </w:p>
        </w:tc>
        <w:tc>
          <w:tcPr>
            <w:tcW w:type="dxa" w:w="2880"/>
            <w:vAlign w:val="top"/>
            <w:tcBorders>
              <w:top w:val="single" w:sz="4" w:color="D9E2F3"/>
              <w:left w:val="single" w:sz="4" w:color="D9E2F3"/>
              <w:bottom w:val="single" w:sz="4" w:color="D9E2F3"/>
              <w:right w:val="single" w:sz="4" w:color="D9E2F3"/>
            </w:tcBorders>
          </w:tcPr>
          <w:p>
            <w:pPr>
              <w:spacing w:after="40"/>
            </w:pPr>
            <w:r>
              <w:rPr>
                <w:sz w:val="18"/>
              </w:rPr>
              <w:t>TWF and/or broker reconciliation</w:t>
            </w:r>
          </w:p>
        </w:tc>
      </w:tr>
      <w:tr>
        <w:tc>
          <w:tcPr>
            <w:tcW w:type="dxa" w:w="2016"/>
            <w:vAlign w:val="top"/>
            <w:tcBorders>
              <w:top w:val="single" w:sz="4" w:color="D9E2F3"/>
              <w:left w:val="single" w:sz="4" w:color="D9E2F3"/>
              <w:bottom w:val="single" w:sz="4" w:color="D9E2F3"/>
              <w:right w:val="single" w:sz="4" w:color="D9E2F3"/>
            </w:tcBorders>
          </w:tcPr>
          <w:p>
            <w:pPr>
              <w:spacing w:after="40"/>
            </w:pPr>
            <w:r>
              <w:rPr>
                <w:sz w:val="18"/>
              </w:rPr>
              <w:t>EXPIRED</w:t>
            </w:r>
          </w:p>
        </w:tc>
        <w:tc>
          <w:tcPr>
            <w:tcW w:type="dxa" w:w="5616"/>
            <w:vAlign w:val="top"/>
            <w:tcBorders>
              <w:top w:val="single" w:sz="4" w:color="D9E2F3"/>
              <w:left w:val="single" w:sz="4" w:color="D9E2F3"/>
              <w:bottom w:val="single" w:sz="4" w:color="D9E2F3"/>
              <w:right w:val="single" w:sz="4" w:color="D9E2F3"/>
            </w:tcBorders>
          </w:tcPr>
          <w:p>
            <w:pPr>
              <w:spacing w:after="40"/>
            </w:pPr>
            <w:r>
              <w:rPr>
                <w:sz w:val="18"/>
              </w:rPr>
              <w:t>Order validity/condition/time window ended before completion.</w:t>
            </w:r>
          </w:p>
        </w:tc>
        <w:tc>
          <w:tcPr>
            <w:tcW w:type="dxa" w:w="2880"/>
            <w:vAlign w:val="top"/>
            <w:tcBorders>
              <w:top w:val="single" w:sz="4" w:color="D9E2F3"/>
              <w:left w:val="single" w:sz="4" w:color="D9E2F3"/>
              <w:bottom w:val="single" w:sz="4" w:color="D9E2F3"/>
              <w:right w:val="single" w:sz="4" w:color="D9E2F3"/>
            </w:tcBorders>
          </w:tcPr>
          <w:p>
            <w:pPr>
              <w:spacing w:after="40"/>
            </w:pPr>
            <w:r>
              <w:rPr>
                <w:sz w:val="18"/>
              </w:rPr>
              <w:t>TWF policy or broker truth</w:t>
            </w:r>
          </w:p>
        </w:tc>
      </w:tr>
      <w:tr>
        <w:tc>
          <w:tcPr>
            <w:tcW w:type="dxa" w:w="2016"/>
            <w:vAlign w:val="top"/>
            <w:tcBorders>
              <w:top w:val="single" w:sz="4" w:color="D9E2F3"/>
              <w:left w:val="single" w:sz="4" w:color="D9E2F3"/>
              <w:bottom w:val="single" w:sz="4" w:color="D9E2F3"/>
              <w:right w:val="single" w:sz="4" w:color="D9E2F3"/>
            </w:tcBorders>
          </w:tcPr>
          <w:p>
            <w:pPr>
              <w:spacing w:after="40"/>
            </w:pPr>
            <w:r>
              <w:rPr>
                <w:sz w:val="18"/>
              </w:rPr>
              <w:t>FAILED</w:t>
            </w:r>
          </w:p>
        </w:tc>
        <w:tc>
          <w:tcPr>
            <w:tcW w:type="dxa" w:w="5616"/>
            <w:vAlign w:val="top"/>
            <w:tcBorders>
              <w:top w:val="single" w:sz="4" w:color="D9E2F3"/>
              <w:left w:val="single" w:sz="4" w:color="D9E2F3"/>
              <w:bottom w:val="single" w:sz="4" w:color="D9E2F3"/>
              <w:right w:val="single" w:sz="4" w:color="D9E2F3"/>
            </w:tcBorders>
          </w:tcPr>
          <w:p>
            <w:pPr>
              <w:spacing w:after="40"/>
            </w:pPr>
            <w:r>
              <w:rPr>
                <w:sz w:val="18"/>
              </w:rPr>
              <w:t>Technical/system failure prevents progress; distinct from broker rejection.</w:t>
            </w:r>
          </w:p>
        </w:tc>
        <w:tc>
          <w:tcPr>
            <w:tcW w:type="dxa" w:w="2880"/>
            <w:vAlign w:val="top"/>
            <w:tcBorders>
              <w:top w:val="single" w:sz="4" w:color="D9E2F3"/>
              <w:left w:val="single" w:sz="4" w:color="D9E2F3"/>
              <w:bottom w:val="single" w:sz="4" w:color="D9E2F3"/>
              <w:right w:val="single" w:sz="4" w:color="D9E2F3"/>
            </w:tcBorders>
          </w:tcPr>
          <w:p>
            <w:pPr>
              <w:spacing w:after="40"/>
            </w:pPr>
            <w:r>
              <w:rPr>
                <w:sz w:val="18"/>
              </w:rPr>
              <w:t>TWF execution infrastructure</w:t>
            </w:r>
          </w:p>
        </w:tc>
      </w:tr>
    </w:tbl>
    <w:p>
      <w:pPr>
        <w:pStyle w:val="Heading2"/>
      </w:pPr>
      <w:r>
        <w:t>3.1 Lifecycle invariants</w:t>
      </w:r>
    </w:p>
    <w:p>
      <w:pPr>
        <w:pStyle w:val="ListBullet"/>
        <w:spacing w:after="60"/>
      </w:pPr>
      <w:r>
        <w:t>No direct transition from DRAFT to FILLED.</w:t>
      </w:r>
    </w:p>
    <w:p>
      <w:pPr>
        <w:pStyle w:val="ListBullet"/>
        <w:spacing w:after="60"/>
      </w:pPr>
      <w:r>
        <w:t>BROKER_ACCEPTED, PARTIALLY_FILLED and FILLED cannot be asserted without broker truth.</w:t>
      </w:r>
    </w:p>
    <w:p>
      <w:pPr>
        <w:pStyle w:val="ListBullet"/>
        <w:spacing w:after="60"/>
      </w:pPr>
      <w:r>
        <w:t>QUEUED means durable admission, not merely an in-memory list membership.</w:t>
      </w:r>
    </w:p>
    <w:p>
      <w:pPr>
        <w:pStyle w:val="ListBullet"/>
        <w:spacing w:after="60"/>
      </w:pPr>
      <w:r>
        <w:t>REJECTED is semantically different from FAILED: rejection is a business/broker decision; failure is a technical/system condition.</w:t>
      </w:r>
    </w:p>
    <w:p>
      <w:pPr>
        <w:pStyle w:val="ListBullet"/>
        <w:spacing w:after="60"/>
      </w:pPr>
      <w:r>
        <w:t>Every terminal or exceptional state must preserve a reason and transition history.</w:t>
      </w:r>
    </w:p>
    <w:p>
      <w:pPr>
        <w:pStyle w:val="ListBullet"/>
        <w:spacing w:after="60"/>
      </w:pPr>
      <w:r>
        <w:t>A TWF Order is never silently rewritten to look as if a different source created it.</w:t>
      </w:r>
    </w:p>
    <w:p>
      <w:pPr>
        <w:pStyle w:val="Heading1"/>
      </w:pPr>
      <w:r>
        <w:t>4. Canonical TWF Order Data Model</w:t>
      </w:r>
    </w:p>
    <w:p>
      <w:r>
        <w:t>The following model is the architectural target. OE-1 implementation should persist the bounded V1 subset required for OE-2/OE-3 while keeping the schema extensible.</w:t>
      </w:r>
    </w:p>
    <w:tbl>
      <w:tblPr>
        <w:tblStyle w:val="TableGrid"/>
        <w:tblW w:type="auto" w:w="0"/>
        <w:jc w:val="center"/>
        <w:tblLook w:firstColumn="1" w:firstRow="1" w:lastColumn="0" w:lastRow="0" w:noHBand="0" w:noVBand="1" w:val="04A0"/>
      </w:tblPr>
      <w:tblGrid>
        <w:gridCol w:w="3408"/>
        <w:gridCol w:w="3408"/>
        <w:gridCol w:w="3408"/>
      </w:tblGrid>
      <w:tr>
        <w:tc>
          <w:tcPr>
            <w:tcW w:type="dxa" w:w="1944"/>
            <w:shd w:fill="DCEBFA"/>
            <w:vAlign w:val="center"/>
            <w:tcBorders>
              <w:top w:val="single" w:sz="4" w:color="D9E2F3"/>
              <w:left w:val="single" w:sz="4" w:color="D9E2F3"/>
              <w:bottom w:val="single" w:sz="4" w:color="D9E2F3"/>
              <w:right w:val="single" w:sz="4" w:color="D9E2F3"/>
            </w:tcBorders>
          </w:tcPr>
          <w:p>
            <w:pPr>
              <w:spacing w:after="40"/>
            </w:pPr>
            <w:r>
              <w:rPr>
                <w:b/>
                <w:color w:val="0F325F"/>
                <w:sz w:val="18"/>
              </w:rPr>
              <w:t>Dimension</w:t>
            </w:r>
          </w:p>
        </w:tc>
        <w:tc>
          <w:tcPr>
            <w:tcW w:type="dxa" w:w="6048"/>
            <w:shd w:fill="DCEBFA"/>
            <w:vAlign w:val="center"/>
            <w:tcBorders>
              <w:top w:val="single" w:sz="4" w:color="D9E2F3"/>
              <w:left w:val="single" w:sz="4" w:color="D9E2F3"/>
              <w:bottom w:val="single" w:sz="4" w:color="D9E2F3"/>
              <w:right w:val="single" w:sz="4" w:color="D9E2F3"/>
            </w:tcBorders>
          </w:tcPr>
          <w:p>
            <w:pPr>
              <w:spacing w:after="40"/>
            </w:pPr>
            <w:r>
              <w:rPr>
                <w:b/>
                <w:color w:val="0F325F"/>
                <w:sz w:val="18"/>
              </w:rPr>
              <w:t>Representative fields</w:t>
            </w:r>
          </w:p>
        </w:tc>
        <w:tc>
          <w:tcPr>
            <w:tcW w:type="dxa" w:w="2880"/>
            <w:shd w:fill="DCEBFA"/>
            <w:vAlign w:val="center"/>
            <w:tcBorders>
              <w:top w:val="single" w:sz="4" w:color="D9E2F3"/>
              <w:left w:val="single" w:sz="4" w:color="D9E2F3"/>
              <w:bottom w:val="single" w:sz="4" w:color="D9E2F3"/>
              <w:right w:val="single" w:sz="4" w:color="D9E2F3"/>
            </w:tcBorders>
          </w:tcPr>
          <w:p>
            <w:pPr>
              <w:spacing w:after="40"/>
            </w:pPr>
            <w:r>
              <w:rPr>
                <w:b/>
                <w:color w:val="0F325F"/>
                <w:sz w:val="18"/>
              </w:rPr>
              <w:t>V1 expectation</w:t>
            </w:r>
          </w:p>
        </w:tc>
      </w:tr>
      <w:tr>
        <w:tc>
          <w:tcPr>
            <w:tcW w:type="dxa" w:w="1944"/>
            <w:vAlign w:val="top"/>
            <w:tcBorders>
              <w:top w:val="single" w:sz="4" w:color="D9E2F3"/>
              <w:left w:val="single" w:sz="4" w:color="D9E2F3"/>
              <w:bottom w:val="single" w:sz="4" w:color="D9E2F3"/>
              <w:right w:val="single" w:sz="4" w:color="D9E2F3"/>
            </w:tcBorders>
          </w:tcPr>
          <w:p>
            <w:pPr>
              <w:spacing w:after="40"/>
            </w:pPr>
            <w:r>
              <w:rPr>
                <w:sz w:val="18"/>
              </w:rPr>
              <w:t>Identity &amp; metadata</w:t>
            </w:r>
          </w:p>
        </w:tc>
        <w:tc>
          <w:tcPr>
            <w:tcW w:type="dxa" w:w="6048"/>
            <w:vAlign w:val="top"/>
            <w:tcBorders>
              <w:top w:val="single" w:sz="4" w:color="D9E2F3"/>
              <w:left w:val="single" w:sz="4" w:color="D9E2F3"/>
              <w:bottom w:val="single" w:sz="4" w:color="D9E2F3"/>
              <w:right w:val="single" w:sz="4" w:color="D9E2F3"/>
            </w:tcBorders>
          </w:tcPr>
          <w:p>
            <w:pPr>
              <w:spacing w:after="40"/>
            </w:pPr>
            <w:r>
              <w:rPr>
                <w:sz w:val="18"/>
              </w:rPr>
              <w:t>twf_order_id, version, owner_id, created_at, updated_at, created_by, notes</w:t>
            </w:r>
          </w:p>
        </w:tc>
        <w:tc>
          <w:tcPr>
            <w:tcW w:type="dxa" w:w="2880"/>
            <w:vAlign w:val="top"/>
            <w:tcBorders>
              <w:top w:val="single" w:sz="4" w:color="D9E2F3"/>
              <w:left w:val="single" w:sz="4" w:color="D9E2F3"/>
              <w:bottom w:val="single" w:sz="4" w:color="D9E2F3"/>
              <w:right w:val="single" w:sz="4" w:color="D9E2F3"/>
            </w:tcBorders>
          </w:tcPr>
          <w:p>
            <w:pPr>
              <w:spacing w:after="40"/>
            </w:pPr>
            <w:r>
              <w:rPr>
                <w:sz w:val="18"/>
              </w:rPr>
              <w:t>Required core identity and ownership</w:t>
            </w:r>
          </w:p>
        </w:tc>
      </w:tr>
      <w:tr>
        <w:tc>
          <w:tcPr>
            <w:tcW w:type="dxa" w:w="1944"/>
            <w:vAlign w:val="top"/>
            <w:tcBorders>
              <w:top w:val="single" w:sz="4" w:color="D9E2F3"/>
              <w:left w:val="single" w:sz="4" w:color="D9E2F3"/>
              <w:bottom w:val="single" w:sz="4" w:color="D9E2F3"/>
              <w:right w:val="single" w:sz="4" w:color="D9E2F3"/>
            </w:tcBorders>
          </w:tcPr>
          <w:p>
            <w:pPr>
              <w:spacing w:after="40"/>
            </w:pPr>
            <w:r>
              <w:rPr>
                <w:sz w:val="18"/>
              </w:rPr>
              <w:t>Instrument</w:t>
            </w:r>
          </w:p>
        </w:tc>
        <w:tc>
          <w:tcPr>
            <w:tcW w:type="dxa" w:w="6048"/>
            <w:vAlign w:val="top"/>
            <w:tcBorders>
              <w:top w:val="single" w:sz="4" w:color="D9E2F3"/>
              <w:left w:val="single" w:sz="4" w:color="D9E2F3"/>
              <w:bottom w:val="single" w:sz="4" w:color="D9E2F3"/>
              <w:right w:val="single" w:sz="4" w:color="D9E2F3"/>
            </w:tcBorders>
          </w:tcPr>
          <w:p>
            <w:pPr>
              <w:spacing w:after="40"/>
            </w:pPr>
            <w:r>
              <w:rPr>
                <w:sz w:val="18"/>
              </w:rPr>
              <w:t>asset_class, exchange, canonical instrument_id, symbol, option_type, strike, expiry, lot_size, tick_size</w:t>
            </w:r>
          </w:p>
        </w:tc>
        <w:tc>
          <w:tcPr>
            <w:tcW w:type="dxa" w:w="2880"/>
            <w:vAlign w:val="top"/>
            <w:tcBorders>
              <w:top w:val="single" w:sz="4" w:color="D9E2F3"/>
              <w:left w:val="single" w:sz="4" w:color="D9E2F3"/>
              <w:bottom w:val="single" w:sz="4" w:color="D9E2F3"/>
              <w:right w:val="single" w:sz="4" w:color="D9E2F3"/>
            </w:tcBorders>
          </w:tcPr>
          <w:p>
            <w:pPr>
              <w:spacing w:after="40"/>
            </w:pPr>
            <w:r>
              <w:rPr>
                <w:sz w:val="18"/>
              </w:rPr>
              <w:t>Exact identity required; derivative fields only where applicable</w:t>
            </w:r>
          </w:p>
        </w:tc>
      </w:tr>
      <w:tr>
        <w:tc>
          <w:tcPr>
            <w:tcW w:type="dxa" w:w="1944"/>
            <w:vAlign w:val="top"/>
            <w:tcBorders>
              <w:top w:val="single" w:sz="4" w:color="D9E2F3"/>
              <w:left w:val="single" w:sz="4" w:color="D9E2F3"/>
              <w:bottom w:val="single" w:sz="4" w:color="D9E2F3"/>
              <w:right w:val="single" w:sz="4" w:color="D9E2F3"/>
            </w:tcBorders>
          </w:tcPr>
          <w:p>
            <w:pPr>
              <w:spacing w:after="40"/>
            </w:pPr>
            <w:r>
              <w:rPr>
                <w:sz w:val="18"/>
              </w:rPr>
              <w:t>Order request</w:t>
            </w:r>
          </w:p>
        </w:tc>
        <w:tc>
          <w:tcPr>
            <w:tcW w:type="dxa" w:w="6048"/>
            <w:vAlign w:val="top"/>
            <w:tcBorders>
              <w:top w:val="single" w:sz="4" w:color="D9E2F3"/>
              <w:left w:val="single" w:sz="4" w:color="D9E2F3"/>
              <w:bottom w:val="single" w:sz="4" w:color="D9E2F3"/>
              <w:right w:val="single" w:sz="4" w:color="D9E2F3"/>
            </w:tcBorders>
          </w:tcPr>
          <w:p>
            <w:pPr>
              <w:spacing w:after="40"/>
            </w:pPr>
            <w:r>
              <w:rPr>
                <w:sz w:val="18"/>
              </w:rPr>
              <w:t>side, quantity, order_type, limit/trigger price, product, validity, disclosed_qty</w:t>
            </w:r>
          </w:p>
        </w:tc>
        <w:tc>
          <w:tcPr>
            <w:tcW w:type="dxa" w:w="2880"/>
            <w:vAlign w:val="top"/>
            <w:tcBorders>
              <w:top w:val="single" w:sz="4" w:color="D9E2F3"/>
              <w:left w:val="single" w:sz="4" w:color="D9E2F3"/>
              <w:bottom w:val="single" w:sz="4" w:color="D9E2F3"/>
              <w:right w:val="single" w:sz="4" w:color="D9E2F3"/>
            </w:tcBorders>
          </w:tcPr>
          <w:p>
            <w:pPr>
              <w:spacing w:after="40"/>
            </w:pPr>
            <w:r>
              <w:rPr>
                <w:sz w:val="18"/>
              </w:rPr>
              <w:t>Support current proven broker order forms first</w:t>
            </w:r>
          </w:p>
        </w:tc>
      </w:tr>
      <w:tr>
        <w:tc>
          <w:tcPr>
            <w:tcW w:type="dxa" w:w="1944"/>
            <w:vAlign w:val="top"/>
            <w:tcBorders>
              <w:top w:val="single" w:sz="4" w:color="D9E2F3"/>
              <w:left w:val="single" w:sz="4" w:color="D9E2F3"/>
              <w:bottom w:val="single" w:sz="4" w:color="D9E2F3"/>
              <w:right w:val="single" w:sz="4" w:color="D9E2F3"/>
            </w:tcBorders>
          </w:tcPr>
          <w:p>
            <w:pPr>
              <w:spacing w:after="40"/>
            </w:pPr>
            <w:r>
              <w:rPr>
                <w:sz w:val="18"/>
              </w:rPr>
              <w:t>Intent &amp; source</w:t>
            </w:r>
          </w:p>
        </w:tc>
        <w:tc>
          <w:tcPr>
            <w:tcW w:type="dxa" w:w="6048"/>
            <w:vAlign w:val="top"/>
            <w:tcBorders>
              <w:top w:val="single" w:sz="4" w:color="D9E2F3"/>
              <w:left w:val="single" w:sz="4" w:color="D9E2F3"/>
              <w:bottom w:val="single" w:sz="4" w:color="D9E2F3"/>
              <w:right w:val="single" w:sz="4" w:color="D9E2F3"/>
            </w:tcBorders>
          </w:tcPr>
          <w:p>
            <w:pPr>
              <w:spacing w:after="40"/>
            </w:pPr>
            <w:r>
              <w:rPr>
                <w:sz w:val="18"/>
              </w:rPr>
              <w:t>source, source_ref_id, intent/horizon, authority_mode, provenance, tags</w:t>
            </w:r>
          </w:p>
        </w:tc>
        <w:tc>
          <w:tcPr>
            <w:tcW w:type="dxa" w:w="2880"/>
            <w:vAlign w:val="top"/>
            <w:tcBorders>
              <w:top w:val="single" w:sz="4" w:color="D9E2F3"/>
              <w:left w:val="single" w:sz="4" w:color="D9E2F3"/>
              <w:bottom w:val="single" w:sz="4" w:color="D9E2F3"/>
              <w:right w:val="single" w:sz="4" w:color="D9E2F3"/>
            </w:tcBorders>
          </w:tcPr>
          <w:p>
            <w:pPr>
              <w:spacing w:after="40"/>
            </w:pPr>
            <w:r>
              <w:rPr>
                <w:sz w:val="18"/>
              </w:rPr>
              <w:t>Source required; richer intent fields may be optional in V1</w:t>
            </w:r>
          </w:p>
        </w:tc>
      </w:tr>
      <w:tr>
        <w:tc>
          <w:tcPr>
            <w:tcW w:type="dxa" w:w="1944"/>
            <w:vAlign w:val="top"/>
            <w:tcBorders>
              <w:top w:val="single" w:sz="4" w:color="D9E2F3"/>
              <w:left w:val="single" w:sz="4" w:color="D9E2F3"/>
              <w:bottom w:val="single" w:sz="4" w:color="D9E2F3"/>
              <w:right w:val="single" w:sz="4" w:color="D9E2F3"/>
            </w:tcBorders>
          </w:tcPr>
          <w:p>
            <w:pPr>
              <w:spacing w:after="40"/>
            </w:pPr>
            <w:r>
              <w:rPr>
                <w:sz w:val="18"/>
              </w:rPr>
              <w:t>Risk &amp; execution (future)</w:t>
            </w:r>
          </w:p>
        </w:tc>
        <w:tc>
          <w:tcPr>
            <w:tcW w:type="dxa" w:w="6048"/>
            <w:vAlign w:val="top"/>
            <w:tcBorders>
              <w:top w:val="single" w:sz="4" w:color="D9E2F3"/>
              <w:left w:val="single" w:sz="4" w:color="D9E2F3"/>
              <w:bottom w:val="single" w:sz="4" w:color="D9E2F3"/>
              <w:right w:val="single" w:sz="4" w:color="D9E2F3"/>
            </w:tcBorders>
          </w:tcPr>
          <w:p>
            <w:pPr>
              <w:spacing w:after="40"/>
            </w:pPr>
            <w:r>
              <w:rPr>
                <w:sz w:val="18"/>
              </w:rPr>
              <w:t>initial_sl, target, max_loss, max_profit, trailing_sl, entry_condition, time_condition, parent/group/OCO refs</w:t>
            </w:r>
          </w:p>
        </w:tc>
        <w:tc>
          <w:tcPr>
            <w:tcW w:type="dxa" w:w="2880"/>
            <w:vAlign w:val="top"/>
            <w:tcBorders>
              <w:top w:val="single" w:sz="4" w:color="D9E2F3"/>
              <w:left w:val="single" w:sz="4" w:color="D9E2F3"/>
              <w:bottom w:val="single" w:sz="4" w:color="D9E2F3"/>
              <w:right w:val="single" w:sz="4" w:color="D9E2F3"/>
            </w:tcBorders>
          </w:tcPr>
          <w:p>
            <w:pPr>
              <w:spacing w:after="40"/>
            </w:pPr>
            <w:r>
              <w:rPr>
                <w:sz w:val="18"/>
              </w:rPr>
              <w:t>Architecturally reserved; not active execution features in OE-1</w:t>
            </w:r>
          </w:p>
        </w:tc>
      </w:tr>
      <w:tr>
        <w:tc>
          <w:tcPr>
            <w:tcW w:type="dxa" w:w="1944"/>
            <w:vAlign w:val="top"/>
            <w:tcBorders>
              <w:top w:val="single" w:sz="4" w:color="D9E2F3"/>
              <w:left w:val="single" w:sz="4" w:color="D9E2F3"/>
              <w:bottom w:val="single" w:sz="4" w:color="D9E2F3"/>
              <w:right w:val="single" w:sz="4" w:color="D9E2F3"/>
            </w:tcBorders>
          </w:tcPr>
          <w:p>
            <w:pPr>
              <w:spacing w:after="40"/>
            </w:pPr>
            <w:r>
              <w:rPr>
                <w:sz w:val="18"/>
              </w:rPr>
              <w:t>State &amp; result</w:t>
            </w:r>
          </w:p>
        </w:tc>
        <w:tc>
          <w:tcPr>
            <w:tcW w:type="dxa" w:w="6048"/>
            <w:vAlign w:val="top"/>
            <w:tcBorders>
              <w:top w:val="single" w:sz="4" w:color="D9E2F3"/>
              <w:left w:val="single" w:sz="4" w:color="D9E2F3"/>
              <w:bottom w:val="single" w:sz="4" w:color="D9E2F3"/>
              <w:right w:val="single" w:sz="4" w:color="D9E2F3"/>
            </w:tcBorders>
          </w:tcPr>
          <w:p>
            <w:pPr>
              <w:spacing w:after="40"/>
            </w:pPr>
            <w:r>
              <w:rPr>
                <w:sz w:val="18"/>
              </w:rPr>
              <w:t>state, state_reason, broker_order_id, filled_qty, avg_fill_price, reject/cancel reason, expiry_time, last_broker_update_at</w:t>
            </w:r>
          </w:p>
        </w:tc>
        <w:tc>
          <w:tcPr>
            <w:tcW w:type="dxa" w:w="2880"/>
            <w:vAlign w:val="top"/>
            <w:tcBorders>
              <w:top w:val="single" w:sz="4" w:color="D9E2F3"/>
              <w:left w:val="single" w:sz="4" w:color="D9E2F3"/>
              <w:bottom w:val="single" w:sz="4" w:color="D9E2F3"/>
              <w:right w:val="single" w:sz="4" w:color="D9E2F3"/>
            </w:tcBorders>
          </w:tcPr>
          <w:p>
            <w:pPr>
              <w:spacing w:after="40"/>
            </w:pPr>
            <w:r>
              <w:rPr>
                <w:sz w:val="18"/>
              </w:rPr>
              <w:t>State/history foundation required; broker results populated only from later bridge/reconciliation</w:t>
            </w:r>
          </w:p>
        </w:tc>
      </w:tr>
    </w:tbl>
    <w:p>
      <w:pPr>
        <w:pStyle w:val="Heading1"/>
      </w:pPr>
      <w:r>
        <w:t>5. Key Domain Types and Enums</w:t>
      </w:r>
    </w:p>
    <w:tbl>
      <w:tblPr>
        <w:tblStyle w:val="TableGrid"/>
        <w:tblW w:type="auto" w:w="0"/>
        <w:jc w:val="center"/>
        <w:tblLook w:firstColumn="1" w:firstRow="1" w:lastColumn="0" w:lastRow="0" w:noHBand="0" w:noVBand="1" w:val="04A0"/>
      </w:tblPr>
      <w:tblGrid>
        <w:gridCol w:w="5112"/>
        <w:gridCol w:w="5112"/>
      </w:tblGrid>
      <w:tr>
        <w:tc>
          <w:tcPr>
            <w:tcW w:type="dxa" w:w="5112"/>
            <w:shd w:fill="DCEBFA"/>
            <w:vAlign w:val="center"/>
            <w:tcBorders>
              <w:top w:val="single" w:sz="4" w:color="D9E2F3"/>
              <w:left w:val="single" w:sz="4" w:color="D9E2F3"/>
              <w:bottom w:val="single" w:sz="4" w:color="D9E2F3"/>
              <w:right w:val="single" w:sz="4" w:color="D9E2F3"/>
            </w:tcBorders>
          </w:tcPr>
          <w:p>
            <w:pPr>
              <w:spacing w:after="40"/>
            </w:pPr>
            <w:r>
              <w:rPr>
                <w:b/>
                <w:color w:val="0F325F"/>
                <w:sz w:val="18"/>
              </w:rPr>
              <w:t>Type</w:t>
            </w:r>
          </w:p>
        </w:tc>
        <w:tc>
          <w:tcPr>
            <w:tcW w:type="dxa" w:w="5112"/>
            <w:shd w:fill="DCEBFA"/>
            <w:vAlign w:val="center"/>
            <w:tcBorders>
              <w:top w:val="single" w:sz="4" w:color="D9E2F3"/>
              <w:left w:val="single" w:sz="4" w:color="D9E2F3"/>
              <w:bottom w:val="single" w:sz="4" w:color="D9E2F3"/>
              <w:right w:val="single" w:sz="4" w:color="D9E2F3"/>
            </w:tcBorders>
          </w:tcPr>
          <w:p>
            <w:pPr>
              <w:spacing w:after="40"/>
            </w:pPr>
            <w:r>
              <w:rPr>
                <w:b/>
                <w:color w:val="0F325F"/>
                <w:sz w:val="18"/>
              </w:rPr>
              <w:t>Initial values / notes</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AssetClass</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EQUITY, FUTURES, OPTION</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Side</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BUY, SELL</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OrderType</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MARKET, LIMIT and currently supported order forms; trigger/SL variants can be added without broker coupling</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Source</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MANUAL, WATCHLIST, SCANNER, DISCOVERY, STRATEGY, AGENT, WEBHOOK</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Intent</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INTRADAY, POSITIONAL, HEDGE, EXIT, SCALE_IN, SCALE_OUT, OTHER — extensible and not all mandatory in V1</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AuthorityMode</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MANUAL, CONFIRM_REQUIRED, SEMI_AUTO, AUTO — advanced modes may remain inactive initially</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OrderState</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DRAFT, READY, QUEUED, SUBMITTING, BROKER_ACCEPTED, PARTIALLY_FILLED, FILLED, BLOCKED, REJECTED, CANCELLED, EXPIRED, FAILED</w:t>
            </w:r>
          </w:p>
        </w:tc>
      </w:tr>
    </w:tbl>
    <w:p>
      <w:pPr>
        <w:pStyle w:val="Heading1"/>
      </w:pPr>
      <w:r>
        <w:t>6. Source and Provenance Model</w:t>
      </w:r>
    </w:p>
    <w:p>
      <w:r>
        <w:t>A central value of TWF Orders is that execution can be traced back to its originating workflow. Provenance must be explicit and durable, not reconstructed later from logs.</w:t>
      </w:r>
    </w:p>
    <w:tbl>
      <w:tblPr>
        <w:tblStyle w:val="TableGrid"/>
        <w:tblW w:type="auto" w:w="0"/>
        <w:jc w:val="center"/>
        <w:tblLook w:firstColumn="1" w:firstRow="1" w:lastColumn="0" w:lastRow="0" w:noHBand="0" w:noVBand="1" w:val="04A0"/>
      </w:tblPr>
      <w:tblGrid>
        <w:gridCol w:w="5112"/>
        <w:gridCol w:w="5112"/>
      </w:tblGrid>
      <w:tr>
        <w:tc>
          <w:tcPr>
            <w:tcW w:type="dxa" w:w="5112"/>
            <w:shd w:fill="DCEBFA"/>
            <w:vAlign w:val="center"/>
            <w:tcBorders>
              <w:top w:val="single" w:sz="4" w:color="D9E2F3"/>
              <w:left w:val="single" w:sz="4" w:color="D9E2F3"/>
              <w:bottom w:val="single" w:sz="4" w:color="D9E2F3"/>
              <w:right w:val="single" w:sz="4" w:color="D9E2F3"/>
            </w:tcBorders>
          </w:tcPr>
          <w:p>
            <w:pPr>
              <w:spacing w:after="40"/>
            </w:pPr>
            <w:r>
              <w:rPr>
                <w:b/>
                <w:color w:val="0F325F"/>
                <w:sz w:val="18"/>
              </w:rPr>
              <w:t>Source</w:t>
            </w:r>
          </w:p>
        </w:tc>
        <w:tc>
          <w:tcPr>
            <w:tcW w:type="dxa" w:w="5112"/>
            <w:shd w:fill="DCEBFA"/>
            <w:vAlign w:val="center"/>
            <w:tcBorders>
              <w:top w:val="single" w:sz="4" w:color="D9E2F3"/>
              <w:left w:val="single" w:sz="4" w:color="D9E2F3"/>
              <w:bottom w:val="single" w:sz="4" w:color="D9E2F3"/>
              <w:right w:val="single" w:sz="4" w:color="D9E2F3"/>
            </w:tcBorders>
          </w:tcPr>
          <w:p>
            <w:pPr>
              <w:spacing w:after="40"/>
            </w:pPr>
            <w:r>
              <w:rPr>
                <w:b/>
                <w:color w:val="0F325F"/>
                <w:sz w:val="18"/>
              </w:rPr>
              <w:t>Example provenance</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MANUAL</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User, UI location, originating workspace, optional notes</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WATCHLIST</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Watchlist id/name, selected row/instrument, timestamp</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SCANNER</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Scanner mode, run id, template id, filters, exact evidence snapshot/reference</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DISCOVERY</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DiscoveryCandidate id, lifecycle state, evidence/context references</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STRATEGY</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Strategy id/version, signal id, parameters</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AGENT</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Agent/service id, policy/version, decision reference</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WEBHOOK</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External integration id, signed request/event id, received timestamp</w:t>
            </w:r>
          </w:p>
        </w:tc>
      </w:tr>
    </w:tbl>
    <w:p>
      <w:pPr>
        <w:pStyle w:val="TWFCallout"/>
      </w:pPr>
      <w:r>
        <w:t>Source provenance never grants execution authority by itself. All sources converge on the same governed Order → Queue → Broker path.</w:t>
      </w:r>
    </w:p>
    <w:p>
      <w:pPr>
        <w:pStyle w:val="Heading1"/>
      </w:pPr>
      <w:r>
        <w:t>7. Relationships</w:t>
      </w:r>
    </w:p>
    <w:tbl>
      <w:tblPr>
        <w:tblStyle w:val="TableGrid"/>
        <w:tblW w:type="auto" w:w="0"/>
        <w:jc w:val="center"/>
        <w:tblLook w:firstColumn="1" w:firstRow="1" w:lastColumn="0" w:lastRow="0" w:noHBand="0" w:noVBand="1" w:val="04A0"/>
      </w:tblPr>
      <w:tblGrid>
        <w:gridCol w:w="5112"/>
        <w:gridCol w:w="5112"/>
      </w:tblGrid>
      <w:tr>
        <w:tc>
          <w:tcPr>
            <w:tcW w:type="dxa" w:w="5112"/>
            <w:shd w:fill="DCEBFA"/>
            <w:vAlign w:val="center"/>
            <w:tcBorders>
              <w:top w:val="single" w:sz="4" w:color="D9E2F3"/>
              <w:left w:val="single" w:sz="4" w:color="D9E2F3"/>
              <w:bottom w:val="single" w:sz="4" w:color="D9E2F3"/>
              <w:right w:val="single" w:sz="4" w:color="D9E2F3"/>
            </w:tcBorders>
          </w:tcPr>
          <w:p>
            <w:pPr>
              <w:spacing w:after="40"/>
            </w:pPr>
            <w:r>
              <w:rPr>
                <w:b/>
                <w:color w:val="0F325F"/>
                <w:sz w:val="18"/>
              </w:rPr>
              <w:t>Relationship</w:t>
            </w:r>
          </w:p>
        </w:tc>
        <w:tc>
          <w:tcPr>
            <w:tcW w:type="dxa" w:w="5112"/>
            <w:shd w:fill="DCEBFA"/>
            <w:vAlign w:val="center"/>
            <w:tcBorders>
              <w:top w:val="single" w:sz="4" w:color="D9E2F3"/>
              <w:left w:val="single" w:sz="4" w:color="D9E2F3"/>
              <w:bottom w:val="single" w:sz="4" w:color="D9E2F3"/>
              <w:right w:val="single" w:sz="4" w:color="D9E2F3"/>
            </w:tcBorders>
          </w:tcPr>
          <w:p>
            <w:pPr>
              <w:spacing w:after="40"/>
            </w:pPr>
            <w:r>
              <w:rPr>
                <w:b/>
                <w:color w:val="0F325F"/>
                <w:sz w:val="18"/>
              </w:rPr>
              <w:t>Cardinality / meaning</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TWF Order → Queue Entry</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1 → 0..n over lifecycle/history; active queue semantics finalized in OE-3</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TWF Order → Order Event</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1 → n immutable/auditable transition and operational events</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TWF Order → Broker Order</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0..1+ external broker identifiers depending later amendment/retry design; must remain explicit</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TWF Order → Position</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0..1+ executed position linkage finalized in OE-8</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TWF Order → Alert</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0..n monitoring/operational alerts finalized in OE-9</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TWF Order → Parent/Children</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Optional future relationship for scale, hedge, multi-leg or conditional workflows</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TWF Order → Owner</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Exactly one owner/account scope</w:t>
            </w:r>
          </w:p>
        </w:tc>
      </w:tr>
    </w:tbl>
    <w:p>
      <w:pPr>
        <w:pStyle w:val="Heading1"/>
      </w:pPr>
      <w:r>
        <w:t>8. Persistence, Events and Audit</w:t>
      </w:r>
    </w:p>
    <w:p>
      <w:r>
        <w:t>OE-1 should establish persistence that is sufficient to recover TWF Orders and reconstruct their lifecycle after restart. State transitions should be auditable rather than merely overwriting the current-state row without history.</w:t>
      </w:r>
    </w:p>
    <w:p>
      <w:pPr>
        <w:pStyle w:val="ListBullet"/>
        <w:spacing w:after="60"/>
      </w:pPr>
      <w:r>
        <w:rPr>
          <w:b/>
        </w:rPr>
        <w:t xml:space="preserve">Current-state record. </w:t>
      </w:r>
      <w:r>
        <w:t>Fast access to the latest canonical order state and request.</w:t>
      </w:r>
    </w:p>
    <w:p>
      <w:pPr>
        <w:pStyle w:val="ListBullet"/>
        <w:spacing w:after="60"/>
      </w:pPr>
      <w:r>
        <w:rPr>
          <w:b/>
        </w:rPr>
        <w:t xml:space="preserve">Immutable order/event history. </w:t>
      </w:r>
      <w:r>
        <w:t>Transition, actor/subsystem, timestamp, reason and relevant correlation identifiers.</w:t>
      </w:r>
    </w:p>
    <w:p>
      <w:pPr>
        <w:pStyle w:val="ListBullet"/>
        <w:spacing w:after="60"/>
      </w:pPr>
      <w:r>
        <w:rPr>
          <w:b/>
        </w:rPr>
        <w:t xml:space="preserve">Idempotency/correlation hooks. </w:t>
      </w:r>
      <w:r>
        <w:t>Reserve stable identifiers for later Queue and Broker submission deduplication.</w:t>
      </w:r>
    </w:p>
    <w:p>
      <w:pPr>
        <w:pStyle w:val="ListBullet"/>
        <w:spacing w:after="60"/>
      </w:pPr>
      <w:r>
        <w:rPr>
          <w:b/>
        </w:rPr>
        <w:t xml:space="preserve">No secret material. </w:t>
      </w:r>
      <w:r>
        <w:t>Order persistence must not contain broker credentials or access tokens.</w:t>
      </w:r>
    </w:p>
    <w:p>
      <w:pPr>
        <w:pStyle w:val="ListBullet"/>
        <w:spacing w:after="60"/>
      </w:pPr>
      <w:r>
        <w:rPr>
          <w:b/>
        </w:rPr>
        <w:t xml:space="preserve">Owner scoping. </w:t>
      </w:r>
      <w:r>
        <w:t>Every query/update must respect current TWF ownership/account boundaries.</w:t>
      </w:r>
    </w:p>
    <w:p>
      <w:pPr>
        <w:pStyle w:val="Heading2"/>
      </w:pPr>
      <w:r>
        <w:t>8.1 Minimum event examples</w:t>
      </w:r>
    </w:p>
    <w:tbl>
      <w:tblPr>
        <w:tblStyle w:val="TableGrid"/>
        <w:tblW w:type="auto" w:w="0"/>
        <w:jc w:val="center"/>
        <w:tblLook w:firstColumn="1" w:firstRow="1" w:lastColumn="0" w:lastRow="0" w:noHBand="0" w:noVBand="1" w:val="04A0"/>
      </w:tblPr>
      <w:tblGrid>
        <w:gridCol w:w="5112"/>
        <w:gridCol w:w="5112"/>
      </w:tblGrid>
      <w:tr>
        <w:tc>
          <w:tcPr>
            <w:tcW w:type="dxa" w:w="2880"/>
            <w:shd w:fill="DCEBFA"/>
            <w:vAlign w:val="center"/>
            <w:tcBorders>
              <w:top w:val="single" w:sz="4" w:color="D9E2F3"/>
              <w:left w:val="single" w:sz="4" w:color="D9E2F3"/>
              <w:bottom w:val="single" w:sz="4" w:color="D9E2F3"/>
              <w:right w:val="single" w:sz="4" w:color="D9E2F3"/>
            </w:tcBorders>
          </w:tcPr>
          <w:p>
            <w:pPr>
              <w:spacing w:after="40"/>
            </w:pPr>
            <w:r>
              <w:rPr>
                <w:b/>
                <w:color w:val="0F325F"/>
                <w:sz w:val="18"/>
              </w:rPr>
              <w:t>Event</w:t>
            </w:r>
          </w:p>
        </w:tc>
        <w:tc>
          <w:tcPr>
            <w:tcW w:type="dxa" w:w="7632"/>
            <w:shd w:fill="DCEBFA"/>
            <w:vAlign w:val="center"/>
            <w:tcBorders>
              <w:top w:val="single" w:sz="4" w:color="D9E2F3"/>
              <w:left w:val="single" w:sz="4" w:color="D9E2F3"/>
              <w:bottom w:val="single" w:sz="4" w:color="D9E2F3"/>
              <w:right w:val="single" w:sz="4" w:color="D9E2F3"/>
            </w:tcBorders>
          </w:tcPr>
          <w:p>
            <w:pPr>
              <w:spacing w:after="40"/>
            </w:pPr>
            <w:r>
              <w:rPr>
                <w:b/>
                <w:color w:val="0F325F"/>
                <w:sz w:val="18"/>
              </w:rPr>
              <w:t>Example purpose</w:t>
            </w:r>
          </w:p>
        </w:tc>
      </w:tr>
      <w:tr>
        <w:tc>
          <w:tcPr>
            <w:tcW w:type="dxa" w:w="2880"/>
            <w:vAlign w:val="top"/>
            <w:tcBorders>
              <w:top w:val="single" w:sz="4" w:color="D9E2F3"/>
              <w:left w:val="single" w:sz="4" w:color="D9E2F3"/>
              <w:bottom w:val="single" w:sz="4" w:color="D9E2F3"/>
              <w:right w:val="single" w:sz="4" w:color="D9E2F3"/>
            </w:tcBorders>
          </w:tcPr>
          <w:p>
            <w:pPr>
              <w:spacing w:after="40"/>
            </w:pPr>
            <w:r>
              <w:rPr>
                <w:sz w:val="18"/>
              </w:rPr>
              <w:t>ORDER_CREATED</w:t>
            </w:r>
          </w:p>
        </w:tc>
        <w:tc>
          <w:tcPr>
            <w:tcW w:type="dxa" w:w="7632"/>
            <w:vAlign w:val="top"/>
            <w:tcBorders>
              <w:top w:val="single" w:sz="4" w:color="D9E2F3"/>
              <w:left w:val="single" w:sz="4" w:color="D9E2F3"/>
              <w:bottom w:val="single" w:sz="4" w:color="D9E2F3"/>
              <w:right w:val="single" w:sz="4" w:color="D9E2F3"/>
            </w:tcBorders>
          </w:tcPr>
          <w:p>
            <w:pPr>
              <w:spacing w:after="40"/>
            </w:pPr>
            <w:r>
              <w:rPr>
                <w:sz w:val="18"/>
              </w:rPr>
              <w:t>Canonical TWF Order created from a source.</w:t>
            </w:r>
          </w:p>
        </w:tc>
      </w:tr>
      <w:tr>
        <w:tc>
          <w:tcPr>
            <w:tcW w:type="dxa" w:w="2880"/>
            <w:vAlign w:val="top"/>
            <w:tcBorders>
              <w:top w:val="single" w:sz="4" w:color="D9E2F3"/>
              <w:left w:val="single" w:sz="4" w:color="D9E2F3"/>
              <w:bottom w:val="single" w:sz="4" w:color="D9E2F3"/>
              <w:right w:val="single" w:sz="4" w:color="D9E2F3"/>
            </w:tcBorders>
          </w:tcPr>
          <w:p>
            <w:pPr>
              <w:spacing w:after="40"/>
            </w:pPr>
            <w:r>
              <w:rPr>
                <w:sz w:val="18"/>
              </w:rPr>
              <w:t>ORDER_UPDATED</w:t>
            </w:r>
          </w:p>
        </w:tc>
        <w:tc>
          <w:tcPr>
            <w:tcW w:type="dxa" w:w="7632"/>
            <w:vAlign w:val="top"/>
            <w:tcBorders>
              <w:top w:val="single" w:sz="4" w:color="D9E2F3"/>
              <w:left w:val="single" w:sz="4" w:color="D9E2F3"/>
              <w:bottom w:val="single" w:sz="4" w:color="D9E2F3"/>
              <w:right w:val="single" w:sz="4" w:color="D9E2F3"/>
            </w:tcBorders>
          </w:tcPr>
          <w:p>
            <w:pPr>
              <w:spacing w:after="40"/>
            </w:pPr>
            <w:r>
              <w:rPr>
                <w:sz w:val="18"/>
              </w:rPr>
              <w:t>Editable DRAFT fields changed; changes captured with actor/timestamp.</w:t>
            </w:r>
          </w:p>
        </w:tc>
      </w:tr>
      <w:tr>
        <w:tc>
          <w:tcPr>
            <w:tcW w:type="dxa" w:w="2880"/>
            <w:vAlign w:val="top"/>
            <w:tcBorders>
              <w:top w:val="single" w:sz="4" w:color="D9E2F3"/>
              <w:left w:val="single" w:sz="4" w:color="D9E2F3"/>
              <w:bottom w:val="single" w:sz="4" w:color="D9E2F3"/>
              <w:right w:val="single" w:sz="4" w:color="D9E2F3"/>
            </w:tcBorders>
          </w:tcPr>
          <w:p>
            <w:pPr>
              <w:spacing w:after="40"/>
            </w:pPr>
            <w:r>
              <w:rPr>
                <w:sz w:val="18"/>
              </w:rPr>
              <w:t>ORDER_VALIDATED</w:t>
            </w:r>
          </w:p>
        </w:tc>
        <w:tc>
          <w:tcPr>
            <w:tcW w:type="dxa" w:w="7632"/>
            <w:vAlign w:val="top"/>
            <w:tcBorders>
              <w:top w:val="single" w:sz="4" w:color="D9E2F3"/>
              <w:left w:val="single" w:sz="4" w:color="D9E2F3"/>
              <w:bottom w:val="single" w:sz="4" w:color="D9E2F3"/>
              <w:right w:val="single" w:sz="4" w:color="D9E2F3"/>
            </w:tcBorders>
          </w:tcPr>
          <w:p>
            <w:pPr>
              <w:spacing w:after="40"/>
            </w:pPr>
            <w:r>
              <w:rPr>
                <w:sz w:val="18"/>
              </w:rPr>
              <w:t>Order passes/fails readiness validation.</w:t>
            </w:r>
          </w:p>
        </w:tc>
      </w:tr>
      <w:tr>
        <w:tc>
          <w:tcPr>
            <w:tcW w:type="dxa" w:w="2880"/>
            <w:vAlign w:val="top"/>
            <w:tcBorders>
              <w:top w:val="single" w:sz="4" w:color="D9E2F3"/>
              <w:left w:val="single" w:sz="4" w:color="D9E2F3"/>
              <w:bottom w:val="single" w:sz="4" w:color="D9E2F3"/>
              <w:right w:val="single" w:sz="4" w:color="D9E2F3"/>
            </w:tcBorders>
          </w:tcPr>
          <w:p>
            <w:pPr>
              <w:spacing w:after="40"/>
            </w:pPr>
            <w:r>
              <w:rPr>
                <w:sz w:val="18"/>
              </w:rPr>
              <w:t>STATE_TRANSITIONED</w:t>
            </w:r>
          </w:p>
        </w:tc>
        <w:tc>
          <w:tcPr>
            <w:tcW w:type="dxa" w:w="7632"/>
            <w:vAlign w:val="top"/>
            <w:tcBorders>
              <w:top w:val="single" w:sz="4" w:color="D9E2F3"/>
              <w:left w:val="single" w:sz="4" w:color="D9E2F3"/>
              <w:bottom w:val="single" w:sz="4" w:color="D9E2F3"/>
              <w:right w:val="single" w:sz="4" w:color="D9E2F3"/>
            </w:tcBorders>
          </w:tcPr>
          <w:p>
            <w:pPr>
              <w:spacing w:after="40"/>
            </w:pPr>
            <w:r>
              <w:rPr>
                <w:sz w:val="18"/>
              </w:rPr>
              <w:t>Lifecycle state transition with from/to/reason.</w:t>
            </w:r>
          </w:p>
        </w:tc>
      </w:tr>
      <w:tr>
        <w:tc>
          <w:tcPr>
            <w:tcW w:type="dxa" w:w="2880"/>
            <w:vAlign w:val="top"/>
            <w:tcBorders>
              <w:top w:val="single" w:sz="4" w:color="D9E2F3"/>
              <w:left w:val="single" w:sz="4" w:color="D9E2F3"/>
              <w:bottom w:val="single" w:sz="4" w:color="D9E2F3"/>
              <w:right w:val="single" w:sz="4" w:color="D9E2F3"/>
            </w:tcBorders>
          </w:tcPr>
          <w:p>
            <w:pPr>
              <w:spacing w:after="40"/>
            </w:pPr>
            <w:r>
              <w:rPr>
                <w:sz w:val="18"/>
              </w:rPr>
              <w:t>PROVENANCE_ATTACHED</w:t>
            </w:r>
          </w:p>
        </w:tc>
        <w:tc>
          <w:tcPr>
            <w:tcW w:type="dxa" w:w="7632"/>
            <w:vAlign w:val="top"/>
            <w:tcBorders>
              <w:top w:val="single" w:sz="4" w:color="D9E2F3"/>
              <w:left w:val="single" w:sz="4" w:color="D9E2F3"/>
              <w:bottom w:val="single" w:sz="4" w:color="D9E2F3"/>
              <w:right w:val="single" w:sz="4" w:color="D9E2F3"/>
            </w:tcBorders>
          </w:tcPr>
          <w:p>
            <w:pPr>
              <w:spacing w:after="40"/>
            </w:pPr>
            <w:r>
              <w:rPr>
                <w:sz w:val="18"/>
              </w:rPr>
              <w:t>Source/evidence reference associated with the order.</w:t>
            </w:r>
          </w:p>
        </w:tc>
      </w:tr>
    </w:tbl>
    <w:p>
      <w:pPr>
        <w:pStyle w:val="Heading1"/>
      </w:pPr>
      <w:r>
        <w:t>9. Validation and State Transition Rules</w:t>
      </w:r>
    </w:p>
    <w:p>
      <w:r>
        <w:t>Validation in OE-1 is domain validation, not live broker validation. Broker-specific capability checks belong to the execution bridge, although OE-1 should preserve enough canonical information to perform those checks later.</w:t>
      </w:r>
    </w:p>
    <w:p>
      <w:pPr>
        <w:pStyle w:val="ListBullet"/>
        <w:spacing w:after="60"/>
      </w:pPr>
      <w:r>
        <w:t>Quantity must be positive and compatible with the canonical instrument constraints known to TWF.</w:t>
      </w:r>
    </w:p>
    <w:p>
      <w:pPr>
        <w:pStyle w:val="ListBullet"/>
        <w:spacing w:after="60"/>
      </w:pPr>
      <w:r>
        <w:t>Derivative orders require exact expiry/strike/option type as applicable.</w:t>
      </w:r>
    </w:p>
    <w:p>
      <w:pPr>
        <w:pStyle w:val="ListBullet"/>
        <w:spacing w:after="60"/>
      </w:pPr>
      <w:r>
        <w:t>A LIMIT order requires a valid limit price; unsupported combinations must be rejected explicitly.</w:t>
      </w:r>
    </w:p>
    <w:p>
      <w:pPr>
        <w:pStyle w:val="ListBullet"/>
        <w:spacing w:after="60"/>
      </w:pPr>
      <w:r>
        <w:t>Instrument identity cannot be silently changed after an order leaves editable DRAFT without explicit lifecycle semantics.</w:t>
      </w:r>
    </w:p>
    <w:p>
      <w:pPr>
        <w:pStyle w:val="ListBullet"/>
        <w:spacing w:after="60"/>
      </w:pPr>
      <w:r>
        <w:t>Only allowed state transitions are accepted; invalid transitions return typed errors.</w:t>
      </w:r>
    </w:p>
    <w:p>
      <w:pPr>
        <w:pStyle w:val="ListBullet"/>
        <w:spacing w:after="60"/>
      </w:pPr>
      <w:r>
        <w:t>Terminal-state mutation must be tightly controlled and auditable.</w:t>
      </w:r>
    </w:p>
    <w:p>
      <w:pPr>
        <w:pStyle w:val="ListBullet"/>
        <w:spacing w:after="60"/>
      </w:pPr>
      <w:r>
        <w:t>Every rejection/failure/cancellation must preserve a machine-readable category plus human-readable reason where useful.</w:t>
      </w:r>
    </w:p>
    <w:p>
      <w:pPr>
        <w:pStyle w:val="Heading1"/>
      </w:pPr>
      <w:r>
        <w:t>10. OE-1 Domain Services</w:t>
      </w:r>
    </w:p>
    <w:p>
      <w:r>
        <w:t>OE-1 should expose a small set of application/domain services that later OE phases can reuse rather than allowing callers to manipulate database rows directly.</w:t>
      </w:r>
    </w:p>
    <w:tbl>
      <w:tblPr>
        <w:tblStyle w:val="TableGrid"/>
        <w:tblW w:type="auto" w:w="0"/>
        <w:jc w:val="center"/>
        <w:tblLook w:firstColumn="1" w:firstRow="1" w:lastColumn="0" w:lastRow="0" w:noHBand="0" w:noVBand="1" w:val="04A0"/>
      </w:tblPr>
      <w:tblGrid>
        <w:gridCol w:w="5112"/>
        <w:gridCol w:w="5112"/>
      </w:tblGrid>
      <w:tr>
        <w:tc>
          <w:tcPr>
            <w:tcW w:type="dxa" w:w="5112"/>
            <w:shd w:fill="DCEBFA"/>
            <w:vAlign w:val="center"/>
            <w:tcBorders>
              <w:top w:val="single" w:sz="4" w:color="D9E2F3"/>
              <w:left w:val="single" w:sz="4" w:color="D9E2F3"/>
              <w:bottom w:val="single" w:sz="4" w:color="D9E2F3"/>
              <w:right w:val="single" w:sz="4" w:color="D9E2F3"/>
            </w:tcBorders>
          </w:tcPr>
          <w:p>
            <w:pPr>
              <w:spacing w:after="40"/>
            </w:pPr>
            <w:r>
              <w:rPr>
                <w:b/>
                <w:color w:val="0F325F"/>
                <w:sz w:val="18"/>
              </w:rPr>
              <w:t>Service capability</w:t>
            </w:r>
          </w:p>
        </w:tc>
        <w:tc>
          <w:tcPr>
            <w:tcW w:type="dxa" w:w="5112"/>
            <w:shd w:fill="DCEBFA"/>
            <w:vAlign w:val="center"/>
            <w:tcBorders>
              <w:top w:val="single" w:sz="4" w:color="D9E2F3"/>
              <w:left w:val="single" w:sz="4" w:color="D9E2F3"/>
              <w:bottom w:val="single" w:sz="4" w:color="D9E2F3"/>
              <w:right w:val="single" w:sz="4" w:color="D9E2F3"/>
            </w:tcBorders>
          </w:tcPr>
          <w:p>
            <w:pPr>
              <w:spacing w:after="40"/>
            </w:pPr>
            <w:r>
              <w:rPr>
                <w:b/>
                <w:color w:val="0F325F"/>
                <w:sz w:val="18"/>
              </w:rPr>
              <w:t>Responsibility</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CreateOrder</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Create canonical TWF Order from validated broker-neutral request and source provenance.</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GetOrder / ListOrders</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Owner-scoped retrieval.</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UpdateDraftOrder</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Modify only fields that are legal while editable.</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ValidateForReadiness</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Check whether order is complete and valid enough to become READY.</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TransitionOrder</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Apply one legal lifecycle transition atomically with audit event.</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Attach/QueryProvenance</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Persist and retrieve originating workflow references.</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OrderHistory</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Return chronological immutable transition/event history.</w:t>
            </w:r>
          </w:p>
        </w:tc>
      </w:tr>
    </w:tbl>
    <w:p>
      <w:pPr>
        <w:pStyle w:val="Heading1"/>
      </w:pPr>
      <w:r>
        <w:t>11. Boundary with Broker V2</w:t>
      </w:r>
    </w:p>
    <w:p>
      <w:r>
        <w:t>Broker V2 remains the broker-facing authority and ground-truth adapter. OE-1 must not move broker submission logic into the TWF Order entity or repository.</w:t>
      </w:r>
    </w:p>
    <w:p>
      <w:pPr>
        <w:pStyle w:val="ListBullet"/>
        <w:spacing w:after="60"/>
      </w:pPr>
      <w:r>
        <w:t>TWF Order is broker-neutral and can exist before any broker is selected/connected.</w:t>
      </w:r>
    </w:p>
    <w:p>
      <w:pPr>
        <w:pStyle w:val="ListBullet"/>
        <w:spacing w:after="60"/>
      </w:pPr>
      <w:r>
        <w:t>Broker-specific symbol/token mapping is an execution concern, not the canonical order identity itself.</w:t>
      </w:r>
    </w:p>
    <w:p>
      <w:pPr>
        <w:pStyle w:val="ListBullet"/>
        <w:spacing w:after="60"/>
      </w:pPr>
      <w:r>
        <w:t>Broker order ids are results/references, not the identity of the TWF Order.</w:t>
      </w:r>
    </w:p>
    <w:p>
      <w:pPr>
        <w:pStyle w:val="ListBullet"/>
        <w:spacing w:after="60"/>
      </w:pPr>
      <w:r>
        <w:t>The Broker workspace remains the faithful view of actual broker orders, positions, holdings, funds, errors and reconciliation.</w:t>
      </w:r>
    </w:p>
    <w:p>
      <w:pPr>
        <w:pStyle w:val="ListBullet"/>
        <w:spacing w:after="60"/>
      </w:pPr>
      <w:r>
        <w:t>Normal future TWF trade initiation will move to TWF Orders, but OE-1 does not remove the current Broker New Order UI.</w:t>
      </w:r>
    </w:p>
    <w:p>
      <w:pPr>
        <w:pStyle w:val="Heading1"/>
      </w:pPr>
      <w:r>
        <w:t>12. Relationship to the OE Roadmap</w:t>
      </w:r>
    </w:p>
    <w:tbl>
      <w:tblPr>
        <w:tblStyle w:val="TableGrid"/>
        <w:tblW w:type="auto" w:w="0"/>
        <w:jc w:val="center"/>
        <w:tblLook w:firstColumn="1" w:firstRow="1" w:lastColumn="0" w:lastRow="0" w:noHBand="0" w:noVBand="1" w:val="04A0"/>
      </w:tblPr>
      <w:tblGrid>
        <w:gridCol w:w="5112"/>
        <w:gridCol w:w="5112"/>
      </w:tblGrid>
      <w:tr>
        <w:tc>
          <w:tcPr>
            <w:tcW w:type="dxa" w:w="5112"/>
            <w:shd w:fill="DCEBFA"/>
            <w:vAlign w:val="center"/>
            <w:tcBorders>
              <w:top w:val="single" w:sz="4" w:color="D9E2F3"/>
              <w:left w:val="single" w:sz="4" w:color="D9E2F3"/>
              <w:bottom w:val="single" w:sz="4" w:color="D9E2F3"/>
              <w:right w:val="single" w:sz="4" w:color="D9E2F3"/>
            </w:tcBorders>
          </w:tcPr>
          <w:p>
            <w:pPr>
              <w:spacing w:after="40"/>
            </w:pPr>
            <w:r>
              <w:rPr>
                <w:b/>
                <w:color w:val="0F325F"/>
                <w:sz w:val="18"/>
              </w:rPr>
              <w:t>Phase</w:t>
            </w:r>
          </w:p>
        </w:tc>
        <w:tc>
          <w:tcPr>
            <w:tcW w:type="dxa" w:w="5112"/>
            <w:shd w:fill="DCEBFA"/>
            <w:vAlign w:val="center"/>
            <w:tcBorders>
              <w:top w:val="single" w:sz="4" w:color="D9E2F3"/>
              <w:left w:val="single" w:sz="4" w:color="D9E2F3"/>
              <w:bottom w:val="single" w:sz="4" w:color="D9E2F3"/>
              <w:right w:val="single" w:sz="4" w:color="D9E2F3"/>
            </w:tcBorders>
          </w:tcPr>
          <w:p>
            <w:pPr>
              <w:spacing w:after="40"/>
            </w:pPr>
            <w:r>
              <w:rPr>
                <w:b/>
                <w:color w:val="0F325F"/>
                <w:sz w:val="18"/>
              </w:rPr>
              <w:t>Dependency on OE-1</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OE-2 — Existing New Order → TWF Order</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Uses OE-1 contracts/services to create a TWF Order instead of directly initiating a broker order.</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OE-3 — TWF Queue Foundation</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Admits READY TWF Orders durably and governs progression.</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OE-4 — Queue → Broker V2</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Maps approved queued orders to exact Broker V2 submissions.</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OE-5 — Broker Reconciliation</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Updates TWF state from broker truth.</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OE-6 — TWF Orders Workspace</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Presents TWF Orders and lifecycle to the operator.</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OE-7 — Audit / Logging</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Builds richer operational/trade audit on top of OE-1 event foundation.</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OE-8 — TWF Positions</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Links executed/adopted trades to richer managed positions.</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OE-9 — TWF Alerts</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Monitors Orders/Queue/Positions.</w:t>
            </w:r>
          </w:p>
        </w:tc>
      </w:tr>
      <w:tr>
        <w:tc>
          <w:tcPr>
            <w:tcW w:type="dxa" w:w="5112"/>
            <w:vAlign w:val="top"/>
            <w:tcBorders>
              <w:top w:val="single" w:sz="4" w:color="D9E2F3"/>
              <w:left w:val="single" w:sz="4" w:color="D9E2F3"/>
              <w:bottom w:val="single" w:sz="4" w:color="D9E2F3"/>
              <w:right w:val="single" w:sz="4" w:color="D9E2F3"/>
            </w:tcBorders>
          </w:tcPr>
          <w:p>
            <w:pPr>
              <w:spacing w:after="40"/>
            </w:pPr>
            <w:r>
              <w:rPr>
                <w:sz w:val="18"/>
              </w:rPr>
              <w:t>OE-10+</w:t>
            </w:r>
          </w:p>
        </w:tc>
        <w:tc>
          <w:tcPr>
            <w:tcW w:type="dxa" w:w="5112"/>
            <w:vAlign w:val="top"/>
            <w:tcBorders>
              <w:top w:val="single" w:sz="4" w:color="D9E2F3"/>
              <w:left w:val="single" w:sz="4" w:color="D9E2F3"/>
              <w:bottom w:val="single" w:sz="4" w:color="D9E2F3"/>
              <w:right w:val="single" w:sz="4" w:color="D9E2F3"/>
            </w:tcBorders>
          </w:tcPr>
          <w:p>
            <w:pPr>
              <w:spacing w:after="40"/>
            </w:pPr>
            <w:r>
              <w:rPr>
                <w:sz w:val="18"/>
              </w:rPr>
              <w:t>Adds advanced order semantics, external intake and hardening.</w:t>
            </w:r>
          </w:p>
        </w:tc>
      </w:tr>
    </w:tbl>
    <w:p>
      <w:pPr>
        <w:pStyle w:val="Heading1"/>
      </w:pPr>
      <w:r>
        <w:t>13. OE-1 Acceptance Criteria</w:t>
      </w:r>
    </w:p>
    <w:p>
      <w:pPr>
        <w:pStyle w:val="ListNumber"/>
        <w:spacing w:after="60"/>
      </w:pPr>
      <w:r>
        <w:t>A canonical TWF Order can be created for Equity, Futures and Options without embedding broker-specific DTO semantics.</w:t>
      </w:r>
    </w:p>
    <w:p>
      <w:pPr>
        <w:pStyle w:val="ListNumber"/>
        <w:spacing w:after="60"/>
      </w:pPr>
      <w:r>
        <w:t>Exact canonical instrument identity is preserved and derivative identity is unambiguous.</w:t>
      </w:r>
    </w:p>
    <w:p>
      <w:pPr>
        <w:pStyle w:val="ListNumber"/>
        <w:spacing w:after="60"/>
      </w:pPr>
      <w:r>
        <w:t>Source/provenance is durably attached and owner-scoped.</w:t>
      </w:r>
    </w:p>
    <w:p>
      <w:pPr>
        <w:pStyle w:val="ListNumber"/>
        <w:spacing w:after="60"/>
      </w:pPr>
      <w:r>
        <w:t>Lifecycle transitions are typed, validated and audited; illegal transitions are rejected.</w:t>
      </w:r>
    </w:p>
    <w:p>
      <w:pPr>
        <w:pStyle w:val="ListNumber"/>
        <w:spacing w:after="60"/>
      </w:pPr>
      <w:r>
        <w:t>Broker-truth-only states cannot be asserted by ordinary TWF callers.</w:t>
      </w:r>
    </w:p>
    <w:p>
      <w:pPr>
        <w:pStyle w:val="ListNumber"/>
        <w:spacing w:after="60"/>
      </w:pPr>
      <w:r>
        <w:t>Current state and transition history survive restart/persistence round trips.</w:t>
      </w:r>
    </w:p>
    <w:p>
      <w:pPr>
        <w:pStyle w:val="ListNumber"/>
        <w:spacing w:after="60"/>
      </w:pPr>
      <w:r>
        <w:t>No runtime path introduced by OE-1 can directly submit to a broker.</w:t>
      </w:r>
    </w:p>
    <w:p>
      <w:pPr>
        <w:pStyle w:val="ListNumber"/>
        <w:spacing w:after="60"/>
      </w:pPr>
      <w:r>
        <w:t>The model is extensible for later SL/TP/max-loss/max-profit/trailing/conditional/parent-child capabilities without implementing them in V1.</w:t>
      </w:r>
    </w:p>
    <w:p>
      <w:pPr>
        <w:pStyle w:val="ListNumber"/>
        <w:spacing w:after="60"/>
      </w:pPr>
      <w:r>
        <w:t>Automated tests cover valid/invalid transitions, persistence, provenance, instrument validation and broker-truth invariants.</w:t>
      </w:r>
    </w:p>
    <w:p>
      <w:pPr>
        <w:pStyle w:val="ListNumber"/>
        <w:spacing w:after="60"/>
      </w:pPr>
      <w:r>
        <w:t>Architecture documentation and README status remain consistent with implemented capability.</w:t>
      </w:r>
    </w:p>
    <w:p>
      <w:pPr>
        <w:pStyle w:val="Heading1"/>
      </w:pPr>
      <w:r>
        <w:t>14. Decisions to Settle During OE-1 Implementation</w:t>
      </w:r>
    </w:p>
    <w:p>
      <w:pPr>
        <w:pStyle w:val="ListBullet"/>
        <w:spacing w:after="60"/>
      </w:pPr>
      <w:r>
        <w:t>Exact canonical field representation for instruments and whether to reference an existing instrument identity/value object.</w:t>
      </w:r>
    </w:p>
    <w:p>
      <w:pPr>
        <w:pStyle w:val="ListBullet"/>
        <w:spacing w:after="60"/>
      </w:pPr>
      <w:r>
        <w:t>Whether TWF Order uses optimistic versioning and how concurrent draft updates are rejected.</w:t>
      </w:r>
    </w:p>
    <w:p>
      <w:pPr>
        <w:pStyle w:val="ListBullet"/>
        <w:spacing w:after="60"/>
      </w:pPr>
      <w:r>
        <w:t>Whether order events are append-only rows, an existing ledger abstraction, or another repository-native mechanism.</w:t>
      </w:r>
    </w:p>
    <w:p>
      <w:pPr>
        <w:pStyle w:val="ListBullet"/>
        <w:spacing w:after="60"/>
      </w:pPr>
      <w:r>
        <w:t>Precise transition matrix for cancellation/expiry/failure from intermediate states.</w:t>
      </w:r>
    </w:p>
    <w:p>
      <w:pPr>
        <w:pStyle w:val="ListBullet"/>
        <w:spacing w:after="60"/>
      </w:pPr>
      <w:r>
        <w:t>Which order types/products/validity values belong in V1 versus future extensions.</w:t>
      </w:r>
    </w:p>
    <w:p>
      <w:pPr>
        <w:pStyle w:val="ListBullet"/>
        <w:spacing w:after="60"/>
      </w:pPr>
      <w:r>
        <w:t>How broker-neutral product/validity fields map to broker capabilities later without polluting the canonical model.</w:t>
      </w:r>
    </w:p>
    <w:p>
      <w:pPr>
        <w:pStyle w:val="ListBullet"/>
        <w:spacing w:after="60"/>
      </w:pPr>
      <w:r>
        <w:t>How source_ref/provenance references existing Scanner/Watchlist entities without hard coupling domain packages.</w:t>
      </w:r>
    </w:p>
    <w:p>
      <w:pPr>
        <w:pStyle w:val="Heading1"/>
      </w:pPr>
      <w:r>
        <w:t>15. Architectural Bottom Line</w:t>
      </w:r>
    </w:p>
    <w:p>
      <w:pPr>
        <w:pStyle w:val="TWFCallout"/>
      </w:pPr>
      <w:r>
        <w:t>OE-1 creates the stable domain boundary that lets every future TWF capability request a trade without receiving direct broker authority.</w:t>
      </w:r>
    </w:p>
    <w:p>
      <w:r>
        <w:t>Once OE-1 is accepted, OE-2 can safely reuse the current proven Select Instrument → Ticket → Preview experience and have it create a TWF Order. OE-3 can then introduce the durable execution queue. This sequence deliberately proves the foundation before advanced trade-management features are added.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TWF Order Domain &amp; Lifecycle Architecture  •  Version 0.1  •  14 Oct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6"/>
      </w:rPr>
      <w:t>TradingWorkFlow  |  OE-1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B2E5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B2E5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WFCallout">
    <w:name w:val="TWF Callout"/>
    <w:pPr>
      <w:spacing w:before="100" w:after="100"/>
      <w:ind w:left="259" w:right="259"/>
    </w:pPr>
    <w:rPr>
      <w:rFonts w:ascii="Aptos" w:hAnsi="Aptos"/>
      <w:b/>
      <w:color w:val="0F504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