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76" w:before="200" w:after="200"/>
        <w:ind w:left="0" w:hanging="0"/>
        <w:jc w:val="center"/>
        <w:rPr>
          <w:lang w:val="pt-BR"/>
        </w:rPr>
      </w:pPr>
      <w:bookmarkStart w:id="0" w:name="_1n7guav2p9qi"/>
      <w:bookmarkEnd w:id="0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CERTIDÃO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1" w:name="_b4nxob7wdb0x"/>
      <w:bookmarkEnd w:id="1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Processo nº @NúmeroProcesso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2" w:name="_ozrgv41gx2d"/>
      <w:bookmarkEnd w:id="2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Autora(a): @NomeAutor</w:t>
      </w:r>
    </w:p>
    <w:p>
      <w:pPr>
        <w:pStyle w:val="LOnormal"/>
        <w:spacing w:lineRule="auto" w:line="276" w:before="200" w:after="200"/>
        <w:ind w:left="0" w:hanging="0"/>
        <w:jc w:val="center"/>
        <w:rPr>
          <w:lang w:val="pt-BR"/>
        </w:rPr>
      </w:pPr>
      <w:bookmarkStart w:id="3" w:name="_8dsdrah8uexc"/>
      <w:bookmarkEnd w:id="3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Justificativa para ausência de impugnação a decisão judicial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4" w:name="_x7udeb10gai"/>
      <w:bookmarkEnd w:id="4"/>
      <w:r>
        <w:rPr>
          <w:rFonts w:eastAsia="Calibri" w:cs="Calibri" w:ascii="Calibri" w:hAnsi="Calibri"/>
          <w:sz w:val="26"/>
          <w:szCs w:val="26"/>
          <w:lang w:val="pt-BR"/>
        </w:rPr>
        <w:t>Nos autos do Protocolado Administrativo nº 20.989/2023, a PGM prestou orientação jurídica no sentido de que (i) o ATS, por se incorporar ao vencimento do servidor público municipal de Paulínia (art. 47, II, parágrafo único, da LCM nº 17/2001), deve ser considerado no montante que define a quantia paga a título de adicional noturno, bem como de que, (ii) antes da entrada em vigor da Lei Municipal nº 4.423/2024, na prorrogação da jornada 12x36, as horas laboradas após às 05h00 da manhã deveriam ser pagas com incidência do adicional noturno de 20%.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5" w:name="_h571pktmz58k"/>
      <w:bookmarkEnd w:id="5"/>
      <w:r>
        <w:rPr>
          <w:rFonts w:eastAsia="Calibri" w:cs="Calibri" w:ascii="Calibri" w:hAnsi="Calibri"/>
          <w:sz w:val="26"/>
          <w:szCs w:val="26"/>
          <w:lang w:val="pt-BR"/>
        </w:rPr>
        <w:t>A sentença proferida no processo em epígrafe limitou a condenação da Municipalidade aos períodos em que a Administração deixou de incluir o ATS na base de cálculo do adicional noturno (julho de 2021 a dezembro de 2023), bem como ao período anterior 20.02.2024, data da entrada em vigor da Lei Municipal nº 4.423/2024, no que tange à incidência do adicional noturno de 20% na prorrogação da jornada 12x36, observando-se, ainda, a prescrição quinquenal, estando, portanto, em consonância com o entendimento manifestado pela PGM Protocolado Administrativo nº 20.989/2023. Quanto à incidência de reflexos do adicional noturno em férias e gratificação natalina, é certo que a SMDGP, em resposta à CI nº 893/2024 da PGM, informou que a Administração já considera a verba “para pagamento das médias de Férias e 13º Salário”, de modo que também não há interesse recursal em face do capitulo decisório em questão, vez que está em consonância com o que já é praticado administrativamente pelo órgão de pagadoria da Municipalidade.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6" w:name="_jmdpenhgpoen"/>
      <w:bookmarkEnd w:id="6"/>
      <w:r>
        <w:rPr>
          <w:rFonts w:eastAsia="Calibri" w:cs="Calibri" w:ascii="Calibri" w:hAnsi="Calibri"/>
          <w:sz w:val="26"/>
          <w:szCs w:val="26"/>
          <w:lang w:val="pt-BR"/>
        </w:rPr>
        <w:t>Por esses motivos, deixo de impugnar a sentença proferida no processo judicial epigrafado, com respaldo inclusive no art. 1º, I, da Resolução nº 04 PGM. Nada mais.</w:t>
      </w:r>
    </w:p>
    <w:p>
      <w:pPr>
        <w:pStyle w:val="LOnormal"/>
        <w:spacing w:lineRule="auto" w:line="276" w:before="200" w:after="200"/>
        <w:ind w:left="0" w:hanging="0"/>
        <w:rPr>
          <w:lang w:val="pt-BR"/>
        </w:rPr>
      </w:pPr>
      <w:bookmarkStart w:id="7" w:name="_65nme8hz8xmi"/>
      <w:bookmarkEnd w:id="7"/>
      <w:r>
        <w:rPr>
          <w:rFonts w:eastAsia="Calibri" w:cs="Calibri" w:ascii="Calibri" w:hAnsi="Calibri"/>
          <w:sz w:val="26"/>
          <w:szCs w:val="26"/>
          <w:lang w:val="pt-BR"/>
        </w:rPr>
        <w:t>PGM, @Data</w:t>
      </w:r>
    </w:p>
    <w:p>
      <w:pPr>
        <w:pStyle w:val="LOnormal"/>
        <w:spacing w:lineRule="auto" w:line="240" w:before="0" w:after="0"/>
        <w:ind w:left="0" w:hanging="0"/>
        <w:jc w:val="center"/>
        <w:rPr>
          <w:lang w:val="pt-BR"/>
        </w:rPr>
      </w:pPr>
      <w:bookmarkStart w:id="8" w:name="_tvv5gcfdoomr"/>
      <w:bookmarkEnd w:id="8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@NomeProcurador</w:t>
      </w:r>
    </w:p>
    <w:p>
      <w:pPr>
        <w:pStyle w:val="LOnormal"/>
        <w:spacing w:lineRule="auto" w:line="240" w:before="0" w:after="0"/>
        <w:ind w:left="0" w:hanging="0"/>
        <w:jc w:val="center"/>
        <w:rPr>
          <w:lang w:val="pt-BR"/>
        </w:rPr>
      </w:pPr>
      <w:bookmarkStart w:id="9" w:name="_fd7qy3qjzdhh"/>
      <w:bookmarkEnd w:id="9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Procurador do Município</w:t>
      </w:r>
    </w:p>
    <w:p>
      <w:pPr>
        <w:pStyle w:val="LOnormal"/>
        <w:spacing w:lineRule="auto" w:line="240" w:before="0" w:after="0"/>
        <w:ind w:left="0" w:hanging="0"/>
        <w:jc w:val="center"/>
        <w:rPr>
          <w:lang w:val="pt-BR"/>
        </w:rPr>
      </w:pPr>
      <w:bookmarkStart w:id="10" w:name="_7u0utwpkc8gk"/>
      <w:bookmarkEnd w:id="10"/>
      <w:r>
        <w:rPr>
          <w:rFonts w:eastAsia="Calibri" w:cs="Calibri" w:ascii="Calibri" w:hAnsi="Calibri"/>
          <w:b/>
          <w:bCs/>
          <w:sz w:val="26"/>
          <w:szCs w:val="26"/>
          <w:lang w:val="pt-BR"/>
        </w:rPr>
        <w:t>OAB/SP @OAB</w:t>
      </w:r>
    </w:p>
    <w:sectPr>
      <w:headerReference w:type="default" r:id="rId2"/>
      <w:type w:val="nextPage"/>
      <w:pgSz w:w="11906" w:h="16838"/>
      <w:pgMar w:left="1133" w:right="1133" w:gutter="0" w:header="720" w:top="2267" w:footer="0" w:bottom="22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>
        <w:lang w:val="pt-BR"/>
      </w:rPr>
    </w:pPr>
    <w:r>
      <w:rPr>
        <w:lang w:val="pt-BR"/>
      </w:rPr>
      <w:drawing>
        <wp:anchor behindDoc="1" distT="0" distB="0" distL="0" distR="0" simplePos="0" locked="0" layoutInCell="0" allowOverlap="1" relativeHeight="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0310" cy="10687685"/>
          <wp:effectExtent l="0" t="0" r="0" b="0"/>
          <wp:wrapNone/>
          <wp:docPr id="1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7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both"/>
    </w:pPr>
    <w:rPr>
      <w:rFonts w:ascii="Times New Roman" w:hAnsi="Times New Roman" w:eastAsia="Noto Serif CJK SC" w:cs="FreeSans"/>
      <w:color w:val="auto"/>
      <w:kern w:val="0"/>
      <w:sz w:val="20"/>
      <w:szCs w:val="20"/>
      <w:lang w:eastAsia="zh-CN" w:bidi="hi-IN" w:val="pt-BR"/>
    </w:rPr>
  </w:style>
  <w:style w:type="paragraph" w:styleId="Ttulo1">
    <w:name w:val="Heading 1"/>
    <w:basedOn w:val="LOnormal"/>
    <w:next w:val="LOnormal"/>
    <w:qFormat/>
    <w:pPr>
      <w:keepNext w:val="true"/>
      <w:keepLines/>
      <w:spacing w:lineRule="auto" w:line="360"/>
      <w:ind w:left="708" w:hanging="360"/>
      <w:jc w:val="both"/>
    </w:pPr>
    <w:rPr>
      <w:b/>
      <w:sz w:val="24"/>
      <w:szCs w:val="24"/>
    </w:rPr>
  </w:style>
  <w:style w:type="paragraph" w:styleId="Ttulo2">
    <w:name w:val="Heading 2"/>
    <w:basedOn w:val="LOnormal"/>
    <w:next w:val="LOnormal"/>
    <w:qFormat/>
    <w:pPr>
      <w:keepNext w:val="true"/>
      <w:keepLines/>
      <w:spacing w:lineRule="auto" w:line="360"/>
      <w:ind w:left="708" w:hanging="283"/>
      <w:jc w:val="both"/>
    </w:pPr>
    <w:rPr>
      <w:b/>
      <w:sz w:val="24"/>
      <w:szCs w:val="24"/>
    </w:rPr>
  </w:style>
  <w:style w:type="paragraph" w:styleId="Ttulo3">
    <w:name w:val="Heading 3"/>
    <w:basedOn w:val="LOnormal"/>
    <w:next w:val="LOnormal"/>
    <w:qFormat/>
    <w:pPr>
      <w:keepNext w:val="true"/>
      <w:keepLines/>
      <w:spacing w:lineRule="auto" w:line="360"/>
      <w:ind w:left="992" w:hanging="360"/>
    </w:pPr>
    <w:rPr>
      <w:b/>
      <w:sz w:val="24"/>
      <w:szCs w:val="24"/>
    </w:rPr>
  </w:style>
  <w:style w:type="paragraph" w:styleId="Ttulo4">
    <w:name w:val="Heading 4"/>
    <w:basedOn w:val="LOnormal"/>
    <w:next w:val="LOnormal"/>
    <w:qFormat/>
    <w:pPr>
      <w:keepNext w:val="true"/>
      <w:keepLines/>
      <w:spacing w:lineRule="auto" w:line="360"/>
      <w:ind w:left="1133" w:hanging="360"/>
    </w:pPr>
    <w:rPr>
      <w:b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spacing w:lineRule="auto" w:line="360"/>
      <w:ind w:left="1133" w:hanging="360"/>
      <w:jc w:val="center"/>
    </w:pPr>
    <w:rPr>
      <w:b/>
      <w:sz w:val="24"/>
      <w:szCs w:val="24"/>
    </w:rPr>
  </w:style>
  <w:style w:type="paragraph" w:styleId="Ttulo6">
    <w:name w:val="Heading 6"/>
    <w:basedOn w:val="LOnormal"/>
    <w:next w:val="LOnormal"/>
    <w:qFormat/>
    <w:pPr>
      <w:keepNext w:val="true"/>
      <w:keepLines/>
      <w:spacing w:lineRule="auto" w:line="276"/>
      <w:jc w:val="center"/>
    </w:pPr>
    <w:rPr>
      <w:b/>
      <w:sz w:val="24"/>
      <w:szCs w:val="24"/>
    </w:rPr>
  </w:style>
  <w:style w:type="paragraph" w:styleId="Ttulo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Nfase">
    <w:name w:val="Ênfase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Ncoradanotaderodap">
    <w:name w:val="Âncora da nota de rodapé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Ncoradanotadefim">
    <w:name w:val="Âncora da nota de fim"/>
    <w:rPr>
      <w:vertAlign w:val="superscript"/>
    </w:rPr>
  </w:style>
  <w:style w:type="character" w:styleId="LinkdaInternet">
    <w:name w:val="Link da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nkdainternetvisitado">
    <w:name w:val="Link da internet visitado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Sumrio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Sumrio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Sumrio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Sumrio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Sumrio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Sumrio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Sumrio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Sumrio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uiPriority w:val="39"/>
    <w:unhideWhenUsed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LOnormal">
    <w:name w:val="LO-normal"/>
    <w:qFormat/>
    <w:pPr>
      <w:widowControl/>
      <w:bidi w:val="0"/>
      <w:spacing w:before="0" w:after="0"/>
      <w:jc w:val="both"/>
    </w:pPr>
    <w:rPr>
      <w:rFonts w:ascii="Times New Roman" w:hAnsi="Times New Roman" w:eastAsia="Noto Serif CJK SC" w:cs="FreeSans"/>
      <w:color w:val="auto"/>
      <w:kern w:val="0"/>
      <w:sz w:val="20"/>
      <w:szCs w:val="20"/>
      <w:lang w:eastAsia="zh-CN" w:bidi="hi-IN" w:val="pt-BR"/>
    </w:rPr>
  </w:style>
  <w:style w:type="paragraph" w:styleId="Ttulododocumento">
    <w:name w:val="Title"/>
    <w:basedOn w:val="LOnormal"/>
    <w:next w:val="LOnormal"/>
    <w:qFormat/>
    <w:pPr>
      <w:keepNext w:val="true"/>
      <w:keepLines/>
      <w:spacing w:lineRule="auto" w:line="360"/>
      <w:ind w:left="708" w:hanging="570"/>
      <w:jc w:val="both"/>
    </w:pPr>
    <w:rPr>
      <w:b/>
      <w:sz w:val="24"/>
      <w:szCs w:val="24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">
    <w:name w:val="Head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A38" w:themeColor="accent2" w:themeTint="97" w:themeShade="95"/>
      </w:rPr>
      <w:tblPr/>
      <w:tcPr/>
    </w:tblStylePr>
    <w:tblStylePr w:type="firstRow">
      <w:pPr/>
      <w:rPr>
        <w:b/>
        <w:color w:val="9F3A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A38" w:themeColor="accent2" w:themeTint="97" w:themeShade="95"/>
      </w:rPr>
      <w:tblPr/>
      <w:tcPr/>
    </w:tblStylePr>
    <w:tblStylePr w:type="lastRow">
      <w:pPr/>
      <w:rPr>
        <w:b/>
        <w:color w:val="9F3A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C732F" w:themeColor="accent3" w:themeTint="fe" w:themeShade="95"/>
      </w:rPr>
      <w:tblPr/>
      <w:tcPr/>
    </w:tblStylePr>
    <w:tblStylePr w:type="firstRow">
      <w:pPr/>
      <w:rPr>
        <w:b/>
        <w:color w:val="5C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C732F" w:themeColor="accent3" w:themeTint="fe" w:themeShade="95"/>
      </w:rPr>
      <w:tblPr/>
      <w:tcPr/>
    </w:tblStylePr>
    <w:tblStylePr w:type="lastRow">
      <w:pPr/>
      <w:rPr>
        <w:b/>
        <w:color w:val="5C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64F84" w:themeColor="accent4" w:themeTint="9a" w:themeShade="95"/>
      </w:rPr>
      <w:tblPr/>
      <w:tcPr/>
    </w:tblStylePr>
    <w:tblStylePr w:type="firstRow">
      <w:pPr/>
      <w:rPr>
        <w:b/>
        <w:color w:val="66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64F84" w:themeColor="accent4" w:themeTint="9a" w:themeShade="95"/>
      </w:rPr>
      <w:tblPr/>
      <w:tcPr/>
    </w:tblStylePr>
    <w:tblStylePr w:type="lastRow">
      <w:pPr/>
      <w:rPr>
        <w:b/>
        <w:color w:val="66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A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A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C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C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C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C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C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C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6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6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A38" w:themeColor="accent2" w:themeTint="97" w:themeShade="95"/>
      </w:rPr>
      <w:tblPr/>
      <w:tcPr/>
    </w:tblStylePr>
    <w:tblStylePr w:type="firstRow">
      <w:pPr/>
      <w:rPr>
        <w:b/>
        <w:color w:val="9F3A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A38" w:themeColor="accent2" w:themeTint="97" w:themeShade="95"/>
      </w:rPr>
      <w:tblPr/>
      <w:tcPr/>
    </w:tblStylePr>
    <w:tblStylePr w:type="lastRow">
      <w:pPr/>
      <w:rPr>
        <w:b/>
        <w:color w:val="9F3A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93F" w:themeColor="accent3" w:themeTint="98" w:themeShade="95"/>
      </w:rPr>
      <w:tblPr/>
      <w:tcPr/>
    </w:tblStylePr>
    <w:tblStylePr w:type="firstRow">
      <w:pPr/>
      <w:rPr>
        <w:b/>
        <w:color w:val="7C99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93F" w:themeColor="accent3" w:themeTint="98" w:themeShade="95"/>
      </w:rPr>
      <w:tblPr/>
      <w:tcPr/>
    </w:tblStylePr>
    <w:tblStylePr w:type="lastRow">
      <w:pPr/>
      <w:rPr>
        <w:b/>
        <w:color w:val="7C99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64F84" w:themeColor="accent4" w:themeTint="9a" w:themeShade="95"/>
      </w:rPr>
      <w:tblPr/>
      <w:tcPr/>
    </w:tblStylePr>
    <w:tblStylePr w:type="firstRow">
      <w:pPr/>
      <w:rPr>
        <w:b/>
        <w:color w:val="66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64F84" w:themeColor="accent4" w:themeTint="9a" w:themeShade="95"/>
      </w:rPr>
      <w:tblPr/>
      <w:tcPr/>
    </w:tblStylePr>
    <w:tblStylePr w:type="lastRow">
      <w:pPr/>
      <w:rPr>
        <w:b/>
        <w:color w:val="66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8BA3" w:themeColor="accent5" w:themeTint="9a" w:themeShade="95"/>
      </w:rPr>
      <w:tblPr/>
      <w:tcPr/>
    </w:tblStylePr>
    <w:tblStylePr w:type="firstRow">
      <w:pPr/>
      <w:rPr>
        <w:b/>
        <w:color w:val="33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8BA3" w:themeColor="accent5" w:themeTint="9a" w:themeShade="95"/>
      </w:rPr>
      <w:tblPr/>
      <w:tcPr/>
    </w:tblStylePr>
    <w:tblStylePr w:type="lastRow">
      <w:pPr/>
      <w:rPr>
        <w:b/>
        <w:color w:val="33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80A" w:themeColor="accent6" w:themeTint="98" w:themeShade="95"/>
      </w:rPr>
      <w:tblPr/>
      <w:tcPr/>
    </w:tblStylePr>
    <w:tblStylePr w:type="firstRow">
      <w:pPr/>
      <w:rPr>
        <w:b/>
        <w:color w:val="DD68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80A" w:themeColor="accent6" w:themeTint="98" w:themeShade="95"/>
      </w:rPr>
      <w:tblPr/>
      <w:tcPr/>
    </w:tblStylePr>
    <w:tblStylePr w:type="lastRow">
      <w:pPr/>
      <w:rPr>
        <w:b/>
        <w:color w:val="DD68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A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A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A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9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9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9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9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9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9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9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6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6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6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3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3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3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3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8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8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8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8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8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8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80A"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TableNormal"/>
    <w:pPr/>
    <w:tblPr>
      <w:tblCellMar>
        <w:left w:w="100" w:type="dxa"/>
        <w:top w:w="100" w:type="dxa"/>
        <w:right w:w="100" w:type="dxa"/>
        <w:bottom w:w="10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304</Words>
  <Characters>1616</Characters>
  <CharactersWithSpaces>1909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2025-09-23T07:17:38Z</dcterms:modified>
  <cp:revision>3</cp:revision>
  <dc:subject/>
  <dc:title/>
</cp:coreProperties>
</file>