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3.xml.rels" ContentType="application/vnd.openxmlformats-package.relationships+xml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200" w:after="200"/>
        <w:jc w:val="center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CERTIDÃO</w:t>
      </w:r>
    </w:p>
    <w:p>
      <w:pPr>
        <w:pStyle w:val="Normal1"/>
        <w:spacing w:lineRule="auto" w:line="276" w:before="200" w:after="200"/>
        <w:jc w:val="both"/>
        <w:rPr>
          <w:b/>
          <w:b/>
          <w:sz w:val="24"/>
          <w:szCs w:val="24"/>
        </w:rPr>
      </w:pPr>
      <w:bookmarkStart w:id="0" w:name="_b4nxob7wdb0x"/>
      <w:bookmarkEnd w:id="0"/>
      <w:r>
        <w:rPr>
          <w:b/>
          <w:sz w:val="24"/>
          <w:szCs w:val="24"/>
        </w:rPr>
        <w:t>Processo nº @NúmeroProcesso</w:t>
      </w:r>
    </w:p>
    <w:p>
      <w:pPr>
        <w:pStyle w:val="Normal1"/>
        <w:spacing w:lineRule="auto" w:line="276" w:before="200" w:after="200"/>
        <w:jc w:val="both"/>
        <w:rPr>
          <w:b/>
          <w:b/>
          <w:sz w:val="24"/>
          <w:szCs w:val="24"/>
          <w:highlight w:val="yellow"/>
        </w:rPr>
      </w:pPr>
      <w:bookmarkStart w:id="1" w:name="_ozrgv41gx2d"/>
      <w:bookmarkEnd w:id="1"/>
      <w:r>
        <w:rPr>
          <w:b/>
          <w:sz w:val="24"/>
          <w:szCs w:val="24"/>
        </w:rPr>
        <w:t>Autora(a): @NomeAutor</w:t>
      </w:r>
    </w:p>
    <w:p>
      <w:pPr>
        <w:pStyle w:val="Normal1"/>
        <w:spacing w:lineRule="auto" w:line="360" w:before="400" w:after="400"/>
        <w:jc w:val="both"/>
        <w:rPr>
          <w:sz w:val="24"/>
          <w:szCs w:val="24"/>
        </w:rPr>
      </w:pPr>
      <w:r>
        <w:rPr>
          <w:sz w:val="24"/>
          <w:szCs w:val="24"/>
        </w:rPr>
        <w:t>A decisão que julgou procedente a pretensão autoral está em consonância com a jurisprudência sedimentada das Câmaras de Direito Público do Tribunal de Justiça de São Paulo sobre o tema. A título de exemplificação, entre muitos outros, são citados os julgados abaixo:</w:t>
      </w:r>
    </w:p>
    <w:p>
      <w:pPr>
        <w:pStyle w:val="Normal1"/>
        <w:spacing w:lineRule="auto" w:line="240" w:before="400" w:after="400"/>
        <w:ind w:left="283" w:hanging="0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>REMESSA NECESSÁRIA E APELAÇÃO – AÇÃO DE COBRANÇA E DE OBRIGAÇÃO DE FAZER – PROGRESSÃO VERTICAL – SERVIDOR PÚBLICO MUNICIPAL – MUNICÍPIO DE PAULÍNIA – Pretensão da autora, servidora pública do Município de Paulínia, de que seja reconhecido o seu direito à Progressão Vertical, inclusive com o pagamento das parcelas vencidas e reflexos – Preliminares de inadequação da via eleita, inovação recursal e de suspensão do feito afastadas - Inteligência dos artigos 13 a 16 da Lei Complementar Municipal nº 66/2017 – Propositura legislativa acompanhada da estimativa do impacto financeiro – Arguição de inconstitucionalidade, por afronta à disposição do art. 113 do ADCT, que não comporta guarida – Reconhecimento administrativo do preenchimento dos requisitos para a progressão – Benefício que deve ser implementado, ainda que superados os limites orçamentários previstos na Lei de Responsabilidade Fiscal – Aplicação do entendimento fixado pelo C. Superior Tribunal de Justiça no bojo do Tema 1075 – Precedentes desta C. 1ª Câmara de Direito Público - Incidência dos termos decididos pelos Tribunais Superiores nos Temas nº 810 (STF) e nº 905 (STJ), até 09.12.2021, a partir de quando deve haver a incidência exclusiva da Selic, nos termos do art. 3º da Emenda Constitucional nº 113/21 – Honorários que devem ser fixados quando da liquidação do julgado - REMESSA NECESSÁRIA PARCIALMENTE PROVIDA E RECURSO VOLUNTÁRIO IMPROVIDO. (TJSP;  Apelação Cível 1002912-61.2022.8.26.0428; Relator (a): Rubens Rihl; Órgão Julgador: 1ª Câmara de Direito Público; Foro de Paulínia - 2ª Vara; Data do Julgamento: 21/11/2023; Data de Registro: 21/11/2023)</w:t>
      </w:r>
    </w:p>
    <w:p>
      <w:pPr>
        <w:pStyle w:val="Normal1"/>
        <w:spacing w:lineRule="auto" w:line="240" w:before="400" w:after="400"/>
        <w:ind w:left="283" w:hanging="0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>APELAÇÃO – SERVIDOR PÚBLICO MUNICIPAL – PAULÍNIA – PROGRESSÃO FUNCIONAL – Pretensão de implementação de progressão vertical, nos termos dos artigos 9º a 16 da LCM 66/2017 – Propositura legislativa acompanhada da estimativa do impacto orçamentário financeiro – Ausência de violação ao art. 113 da ADCT – Requisitos para a progressão reconhecidos administrativamente – Implementação do benefício que se impõe – Aplicação do Tema nº 1075/STJ – Precedentes – Sentença de procedência mantida - Reexame necessário e recurso do Município improvidos. (TJSP;  Apelação Cível 1003152-50.2022.8.26.0428; Relator (a): Maurício Fiorito; Órgão Julgador: 4ª Câmara de Direito Público; Foro de Paulínia - 2ª Vara; Data do Julgamento: 20/07/2023; Data de Registro: 20/07/2023)</w:t>
      </w:r>
    </w:p>
    <w:p>
      <w:pPr>
        <w:pStyle w:val="Normal1"/>
        <w:spacing w:lineRule="auto" w:line="240" w:before="400" w:after="400"/>
        <w:ind w:left="283" w:hanging="0"/>
        <w:jc w:val="both"/>
        <w:rPr>
          <w:i/>
          <w:i/>
          <w:sz w:val="24"/>
          <w:szCs w:val="24"/>
        </w:rPr>
      </w:pPr>
      <w:r>
        <w:rPr>
          <w:i/>
          <w:sz w:val="24"/>
          <w:szCs w:val="24"/>
        </w:rPr>
        <w:t>APELAÇÃO e REEXAME NECESSÁRIO – Servidor público do município de Paulínia – Progressão Funcional – Artigos 13 a 16 da Lei Municipal 66/2017 – Propositura legislativa acompanhada da estimativa do impacto orçamentário financeiro – Ausência de violação ao art. 113 da ADCT – Requisitos para a progressão reconhecidos administrativamente – Implementação do benefício que se impõe – Aplicação do Tema nº 1075/STJ – Precedentes – Sentença de procedência mantida – RECURSO VOLUNTÁRIO e REEXAME NECESSÁRIO NÃO PROVIDOS. (TJSP;  Apelação / Remessa Necessária 1002686-56.2022.8.26.0428; Relator (a): Vicente de Abreu Amadei; Órgão Julgador: 1ª Câmara de Direito Público; Foro de Paulínia - 1ª Vara; Data do Julgamento: 23/06/2023; Data de Registro: 23/06/2023)</w:t>
      </w:r>
    </w:p>
    <w:p>
      <w:pPr>
        <w:pStyle w:val="Normal1"/>
        <w:spacing w:lineRule="auto" w:line="360" w:before="400" w:after="400"/>
        <w:jc w:val="both"/>
        <w:rPr>
          <w:sz w:val="24"/>
          <w:szCs w:val="24"/>
        </w:rPr>
      </w:pPr>
      <w:r>
        <w:rPr>
          <w:sz w:val="24"/>
          <w:szCs w:val="24"/>
        </w:rPr>
        <w:t>Conforme é possível perceber nas ementas acima destacadas, o principal e único argumento defensivo da Fazenda Pública municipal - não observância do art. 113 do ADCT - vem sendo expressamente rechaçado pelas instância superiores, que não reconhecem qualquer no Plano de Cargos e Carreiras e Vencimentos (PCCV), já que haveria documento estimativo do impacto da despesa no projeto de lei que originou a Lei Complementar Municipal nº 66/2017. Essa situação acaba por prejudicar a interposição de recurso extraordinário ao Supremo Tribunal Federal, em razão da impossibilidade de se discutir a realidade/adequação da premissa fática adotada pelo órgão julgador de origem. Nos termos da Súmula STF 279, “para simples reexame de prova não cabe recurso extraordinário”. Dessa forma, a chance de sucesso de eventual recurso é praticamente nula, ensejando, inclusive, a majoração da verba honorária nos termos do art. 85, § 11, do CPC. Com efeito, entendo que a prática do ato processual possa resultar “em prejuízo aos interesses do Município”, o que autoriza a não interposição do recurso consoante disposição prevista no artigo 1º, inciso VIII da Resolução PGM nº 04/2023</w:t>
      </w:r>
    </w:p>
    <w:p>
      <w:pPr>
        <w:pStyle w:val="Normal1"/>
        <w:spacing w:lineRule="auto" w:line="360" w:before="300" w:after="3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Destarte, com supedâneo no princípio da autonomia técnico-jurídica que orienta a Procuradoria Geral do Município (art. 32 da Lei Complementar Municipal nº 82/2022) e com base na Resolução PGM nº 04/2023, deixo de recorrer dos atos decisórios abordados na presente certidão. Nada mais. </w:t>
      </w:r>
    </w:p>
    <w:p>
      <w:pPr>
        <w:pStyle w:val="Normal1"/>
        <w:spacing w:lineRule="auto" w:line="276" w:before="200" w:after="200"/>
        <w:jc w:val="both"/>
        <w:rPr>
          <w:sz w:val="24"/>
          <w:szCs w:val="24"/>
        </w:rPr>
      </w:pPr>
      <w:bookmarkStart w:id="2" w:name="_65nme8hz8xmi"/>
      <w:bookmarkEnd w:id="2"/>
      <w:r>
        <w:rPr>
          <w:sz w:val="24"/>
          <w:szCs w:val="24"/>
        </w:rPr>
        <w:t>PGM, @Data</w:t>
      </w:r>
    </w:p>
    <w:p>
      <w:pPr>
        <w:pStyle w:val="Normal1"/>
        <w:spacing w:lineRule="auto" w:line="276" w:before="0" w:after="0"/>
        <w:jc w:val="center"/>
        <w:rPr>
          <w:b/>
          <w:b/>
          <w:sz w:val="24"/>
          <w:szCs w:val="24"/>
        </w:rPr>
      </w:pPr>
      <w:r>
        <w:rPr/>
      </w:r>
    </w:p>
    <w:p>
      <w:pPr>
        <w:pStyle w:val="Normal1"/>
        <w:spacing w:lineRule="auto" w:line="276" w:before="0" w:after="0"/>
        <w:jc w:val="center"/>
        <w:rPr>
          <w:b/>
          <w:b/>
          <w:sz w:val="24"/>
          <w:szCs w:val="24"/>
        </w:rPr>
      </w:pPr>
      <w:bookmarkStart w:id="3" w:name="_tvv5gcfdoomr"/>
      <w:bookmarkEnd w:id="3"/>
      <w:r>
        <w:rPr>
          <w:b/>
          <w:sz w:val="24"/>
          <w:szCs w:val="24"/>
        </w:rPr>
        <w:t>@NomeProcurador</w:t>
      </w:r>
    </w:p>
    <w:p>
      <w:pPr>
        <w:pStyle w:val="Normal1"/>
        <w:spacing w:lineRule="auto" w:line="276" w:before="0" w:after="0"/>
        <w:jc w:val="center"/>
        <w:rPr>
          <w:b/>
          <w:b/>
          <w:sz w:val="24"/>
          <w:szCs w:val="24"/>
        </w:rPr>
      </w:pPr>
      <w:bookmarkStart w:id="4" w:name="_fd7qy3qjzdhh"/>
      <w:bookmarkEnd w:id="4"/>
      <w:r>
        <w:rPr>
          <w:b/>
          <w:sz w:val="24"/>
          <w:szCs w:val="24"/>
        </w:rPr>
        <w:t>Procurador do Município</w:t>
      </w:r>
    </w:p>
    <w:p>
      <w:pPr>
        <w:pStyle w:val="Normal1"/>
        <w:spacing w:lineRule="auto" w:line="276" w:before="0" w:after="0"/>
        <w:jc w:val="center"/>
        <w:rPr>
          <w:b/>
          <w:b/>
          <w:sz w:val="24"/>
          <w:szCs w:val="24"/>
        </w:rPr>
      </w:pPr>
      <w:bookmarkStart w:id="5" w:name="_7u0utwpkc8gk"/>
      <w:bookmarkEnd w:id="5"/>
      <w:r>
        <w:rPr>
          <w:b/>
          <w:sz w:val="24"/>
          <w:szCs w:val="24"/>
        </w:rPr>
        <w:t>OAB/SP @OAB</w:t>
      </w:r>
    </w:p>
    <w:p>
      <w:pPr>
        <w:pStyle w:val="Normal1"/>
        <w:spacing w:lineRule="auto" w:line="276" w:before="200" w:after="200"/>
        <w:ind w:left="0" w:hanging="0"/>
        <w:jc w:val="center"/>
        <w:rPr>
          <w:b/>
          <w:b/>
          <w:sz w:val="24"/>
          <w:szCs w:val="24"/>
        </w:rPr>
      </w:pPr>
      <w:r>
        <w:rPr/>
      </w:r>
      <w:bookmarkStart w:id="6" w:name="_5vvb6lz7hj8t"/>
      <w:bookmarkStart w:id="7" w:name="_5vvb6lz7hj8t"/>
      <w:bookmarkEnd w:id="7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1587" w:top="1644" w:footer="1417" w:bottom="147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2215" cy="10692130"/>
              <wp:effectExtent l="635" t="635" r="635" b="635"/>
              <wp:wrapNone/>
              <wp:docPr id="1" name="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562160" cy="10692000"/>
                      </a:xfrm>
                      <a:prstGeom prst="rect">
                        <a:avLst/>
                      </a:prstGeom>
                      <a:ln w="0">
                        <a:solidFill>
                          <a:srgbClr val="000000"/>
                        </a:solidFill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shape_0" stroked="t" o:allowincell="f" style="position:absolute;margin-left:0.05pt;margin-top:0pt;width:595.4pt;height:841.85pt;mso-wrap-style:none;v-text-anchor:middle;mso-position-horizontal:center;mso-position-horizontal-relative:margin;mso-position-vertical:center;mso-position-vertical-relative:margin" type="_x0000_t75">
              <v:imagedata r:id="rId1" o:detectmouseclick="t"/>
              <v:stroke color="black" joinstyle="round" endcap="flat"/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2215" cy="10692130"/>
              <wp:effectExtent l="635" t="635" r="635" b="635"/>
              <wp:wrapNone/>
              <wp:docPr id="2" name="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 descr=""/>
                      <pic:cNvPicPr/>
                    </pic:nvPicPr>
                    <pic:blipFill>
                      <a:blip r:embed="rId2"/>
                      <a:stretch/>
                    </pic:blipFill>
                    <pic:spPr>
                      <a:xfrm>
                        <a:off x="0" y="0"/>
                        <a:ext cx="7562160" cy="10692000"/>
                      </a:xfrm>
                      <a:prstGeom prst="rect">
                        <a:avLst/>
                      </a:prstGeom>
                      <a:ln w="0">
                        <a:solidFill>
                          <a:srgbClr val="000000"/>
                        </a:solidFill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stroked="t" o:allowincell="f" style="position:absolute;margin-left:0.05pt;margin-top:0pt;width:595.4pt;height:841.85pt;mso-wrap-style:none;v-text-anchor:middle;mso-position-horizontal:center;mso-position-horizontal-relative:margin;mso-position-vertical:center;mso-position-vertical-relative:margin" type="_x0000_t75">
              <v:imagedata r:id="rId1" o:detectmouseclick="t"/>
              <v:stroke color="black" joinstyle="round" endcap="flat"/>
              <w10:wrap type="none"/>
            </v:shape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2215" cy="10692130"/>
              <wp:effectExtent l="635" t="635" r="635" b="635"/>
              <wp:wrapNone/>
              <wp:docPr id="3" name="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562160" cy="10692000"/>
                      </a:xfrm>
                      <a:prstGeom prst="rect">
                        <a:avLst/>
                      </a:prstGeom>
                      <a:ln w="0">
                        <a:solidFill>
                          <a:srgbClr val="000000"/>
                        </a:solidFill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stroked="t" o:allowincell="f" style="position:absolute;margin-left:-85.15pt;margin-top:-87.9pt;width:595.4pt;height:841.85pt;mso-wrap-style:none;v-text-anchor:middle;mso-position-horizontal:center;mso-position-horizontal-relative:margin;mso-position-vertical:center;mso-position-vertical-relative:margin" type="_x0000_t75">
              <v:imagedata r:id="rId1" o:detectmouseclick="t"/>
              <v:stroke color="black" joinstyle="round" endcap="flat"/>
              <w10:wrap type="none"/>
            </v:shap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behindDoc="1" distT="0" distB="0" distL="0" distR="0" simplePos="0" locked="0" layoutInCell="0" allowOverlap="1" relativeHeight="6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2215" cy="10692130"/>
              <wp:effectExtent l="635" t="635" r="635" b="635"/>
              <wp:wrapNone/>
              <wp:docPr id="4" name="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562160" cy="10692000"/>
                      </a:xfrm>
                      <a:prstGeom prst="rect">
                        <a:avLst/>
                      </a:prstGeom>
                      <a:ln w="0">
                        <a:solidFill>
                          <a:srgbClr val="000000"/>
                        </a:solidFill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stroked="t" o:allowincell="f" style="position:absolute;margin-left:-85.15pt;margin-top:-87.9pt;width:595.4pt;height:841.85pt;mso-wrap-style:none;v-text-anchor:middle;mso-position-horizontal:center;mso-position-horizontal-relative:margin;mso-position-vertical:center;mso-position-vertical-relative:margin" type="_x0000_t75">
              <v:imagedata r:id="rId1" o:detectmouseclick="t"/>
              <v:stroke color="black" joinstyle="round" endcap="flat"/>
              <w10:wrap type="none"/>
            </v:shap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Ttulo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Ttulo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Ttulo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Ttulo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Ttulo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Ttulo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Normal1" w:default="1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Ttulododocumento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tulo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CabealhoeRodap"/>
    <w:pPr/>
    <w:rPr/>
  </w:style>
  <w:style w:type="paragraph" w:styleId="Rodap">
    <w:name w:val="Footer"/>
    <w:basedOn w:val="CabealhoeRodap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3</Pages>
  <Words>714</Words>
  <Characters>4234</Characters>
  <CharactersWithSpaces>4974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2025-09-23T13:57:07Z</dcterms:modified>
  <cp:revision>1</cp:revision>
  <dc:subject/>
  <dc:title/>
</cp:coreProperties>
</file>