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jc w:val="center"/>
        <w:rPr>
          <w:b w:val="1"/>
          <w:sz w:val="24"/>
          <w:szCs w:val="24"/>
        </w:rPr>
      </w:pPr>
      <w:r w:rsidDel="00000000" w:rsidR="00000000" w:rsidRPr="00000000">
        <w:rPr>
          <w:b w:val="1"/>
          <w:sz w:val="24"/>
          <w:szCs w:val="24"/>
          <w:rtl w:val="0"/>
        </w:rPr>
        <w:t xml:space="preserve">CERTIDÃO</w:t>
      </w:r>
    </w:p>
    <w:p w:rsidR="00000000" w:rsidDel="00000000" w:rsidP="00000000" w:rsidRDefault="00000000" w:rsidRPr="00000000" w14:paraId="00000002">
      <w:pPr>
        <w:spacing w:after="200" w:before="200" w:line="276" w:lineRule="auto"/>
        <w:jc w:val="both"/>
        <w:rPr>
          <w:b w:val="1"/>
          <w:sz w:val="24"/>
          <w:szCs w:val="24"/>
        </w:rPr>
      </w:pPr>
      <w:bookmarkStart w:colFirst="0" w:colLast="0" w:name="_b4nxob7wdb0x" w:id="0"/>
      <w:bookmarkEnd w:id="0"/>
      <w:r w:rsidDel="00000000" w:rsidR="00000000" w:rsidRPr="00000000">
        <w:rPr>
          <w:b w:val="1"/>
          <w:sz w:val="24"/>
          <w:szCs w:val="24"/>
          <w:rtl w:val="0"/>
        </w:rPr>
        <w:t xml:space="preserve">Processo nº @NúmeroProcesso</w:t>
      </w:r>
    </w:p>
    <w:p w:rsidR="00000000" w:rsidDel="00000000" w:rsidP="00000000" w:rsidRDefault="00000000" w:rsidRPr="00000000" w14:paraId="00000003">
      <w:pPr>
        <w:spacing w:after="200" w:before="200" w:line="276" w:lineRule="auto"/>
        <w:jc w:val="both"/>
        <w:rPr>
          <w:b w:val="1"/>
          <w:sz w:val="24"/>
          <w:szCs w:val="24"/>
        </w:rPr>
      </w:pPr>
      <w:bookmarkStart w:colFirst="0" w:colLast="0" w:name="_ozrgv41gx2d" w:id="1"/>
      <w:bookmarkEnd w:id="1"/>
      <w:r w:rsidDel="00000000" w:rsidR="00000000" w:rsidRPr="00000000">
        <w:rPr>
          <w:b w:val="1"/>
          <w:sz w:val="24"/>
          <w:szCs w:val="24"/>
          <w:rtl w:val="0"/>
        </w:rPr>
        <w:t xml:space="preserve">Autora(a): @NomeAutor</w:t>
      </w:r>
    </w:p>
    <w:p w:rsidR="00000000" w:rsidDel="00000000" w:rsidP="00000000" w:rsidRDefault="00000000" w:rsidRPr="00000000" w14:paraId="00000004">
      <w:pPr>
        <w:spacing w:after="200" w:before="200" w:line="276" w:lineRule="auto"/>
        <w:jc w:val="both"/>
        <w:rPr>
          <w:sz w:val="24"/>
          <w:szCs w:val="24"/>
        </w:rPr>
      </w:pPr>
      <w:r w:rsidDel="00000000" w:rsidR="00000000" w:rsidRPr="00000000">
        <w:rPr>
          <w:sz w:val="24"/>
          <w:szCs w:val="24"/>
          <w:rtl w:val="0"/>
        </w:rPr>
        <w:t xml:space="preserve">Inicialmente, certifico, nesta data, a juntada da sentença retro. Pois bem. A decisão que julgou procedente a pretensão autoral está em consonância com a jurisprudência sedimentada do Colégio Recursal e do Tribunal de Justiça de São Paulo sobre o tema, o que prejudica a interposição de recurso inominado. A título de exemplificação, entre muitos outros, são citados os julgados abaixo:</w:t>
      </w:r>
    </w:p>
    <w:p w:rsidR="00000000" w:rsidDel="00000000" w:rsidP="00000000" w:rsidRDefault="00000000" w:rsidRPr="00000000" w14:paraId="00000005">
      <w:pPr>
        <w:spacing w:after="200" w:before="200" w:line="276" w:lineRule="auto"/>
        <w:ind w:left="283.46456692913375" w:firstLine="0"/>
        <w:jc w:val="both"/>
        <w:rPr>
          <w:i w:val="1"/>
          <w:sz w:val="24"/>
          <w:szCs w:val="24"/>
        </w:rPr>
      </w:pPr>
      <w:r w:rsidDel="00000000" w:rsidR="00000000" w:rsidRPr="00000000">
        <w:rPr>
          <w:i w:val="1"/>
          <w:sz w:val="24"/>
          <w:szCs w:val="24"/>
          <w:rtl w:val="0"/>
        </w:rPr>
        <w:t xml:space="preserve">DIREITO ADMINISTRATIVO. Servidor público do Município de Paulínia – Evolução DIREITO ADMINISTRATIVO. Servidor público do Município de Paulínia – Evolução funcional - Progressão vertical - Lei Complementar Municipal nº 66/2017 - Possibilidade – </w:t>
      </w:r>
      <w:r w:rsidDel="00000000" w:rsidR="00000000" w:rsidRPr="00000000">
        <w:rPr>
          <w:b w:val="1"/>
          <w:i w:val="1"/>
          <w:sz w:val="24"/>
          <w:szCs w:val="24"/>
          <w:rtl w:val="0"/>
        </w:rPr>
        <w:t xml:space="preserve">Inconstitucionalidade da lei municipal afastada</w:t>
      </w:r>
      <w:r w:rsidDel="00000000" w:rsidR="00000000" w:rsidRPr="00000000">
        <w:rPr>
          <w:i w:val="1"/>
          <w:sz w:val="24"/>
          <w:szCs w:val="24"/>
          <w:rtl w:val="0"/>
        </w:rPr>
        <w:t xml:space="preserve"> - O Município não se exime da obrigação de promover a progressão vertical dos servidores que preencham os requisitos legais ao argumento de falta de previsão orçamentária. Tema 1.075 do C. STJ: "É ilegal o ato de não concessão de progressão funcional de servidor público, quando atendidos todos os requisitos legais, a despeito de superados os limites orçamentários previstos na Lei de Responsabilidade Fiscal, referentes a gastos com pessoal de ente público, tendo em vista que a progressão é direito subjetivo do servidor público, decorrente de determinação legal, estando compreendida na exceção prevista no inciso I do parágrafo único do art. 22 da Lei Complementar 101/2000."  Não obrigatoriedade de suspensão do feito individual, em razão da existência de causa coletiva em andamento. Sentença de procedência. Solução adotada em primeiro grau em harmonia com os precedentes desta Turma Recursal. </w:t>
      </w:r>
      <w:r w:rsidDel="00000000" w:rsidR="00000000" w:rsidRPr="00000000">
        <w:rPr>
          <w:b w:val="1"/>
          <w:i w:val="1"/>
          <w:sz w:val="24"/>
          <w:szCs w:val="24"/>
          <w:rtl w:val="0"/>
        </w:rPr>
        <w:t xml:space="preserve">Sentença mantida por seus próprios fundamentos, arcando a recorrente com o pagamento de honorários advocatícios arbitrados em 10% do valor atualizado da condenação</w:t>
      </w:r>
      <w:r w:rsidDel="00000000" w:rsidR="00000000" w:rsidRPr="00000000">
        <w:rPr>
          <w:i w:val="1"/>
          <w:sz w:val="24"/>
          <w:szCs w:val="24"/>
          <w:rtl w:val="0"/>
        </w:rPr>
        <w:t xml:space="preserve">. Recurso desprovido.  (TJSP;  Recurso Inominado Cível 1005111-90.2021.8.26.0428; Rel. Eduardo Bigolin; Turma da Fazenda Pública; Foro de Paulínia; 29/01/2023)</w:t>
      </w:r>
    </w:p>
    <w:p w:rsidR="00000000" w:rsidDel="00000000" w:rsidP="00000000" w:rsidRDefault="00000000" w:rsidRPr="00000000" w14:paraId="00000006">
      <w:pPr>
        <w:spacing w:after="200" w:before="200" w:line="276" w:lineRule="auto"/>
        <w:ind w:left="283.46456692913375" w:firstLine="0"/>
        <w:jc w:val="both"/>
        <w:rPr>
          <w:i w:val="1"/>
          <w:sz w:val="24"/>
          <w:szCs w:val="24"/>
        </w:rPr>
      </w:pPr>
      <w:r w:rsidDel="00000000" w:rsidR="00000000" w:rsidRPr="00000000">
        <w:rPr>
          <w:i w:val="1"/>
          <w:sz w:val="24"/>
          <w:szCs w:val="24"/>
          <w:rtl w:val="0"/>
        </w:rPr>
        <w:t xml:space="preserve">Juizado Especial da Fazenda Pública – Turma da Fazenda Pública do Colégio Recursal de Campinas – Servidora Pública Municipal de Paulínia – Técnica de Anáises Clínicas – Ação que visa ao reconhecimento do direito à progressão vertical, com efeitos pecuniários – Sentença de procedência – Acerto da r. sentença – </w:t>
      </w:r>
      <w:r w:rsidDel="00000000" w:rsidR="00000000" w:rsidRPr="00000000">
        <w:rPr>
          <w:b w:val="1"/>
          <w:i w:val="1"/>
          <w:sz w:val="24"/>
          <w:szCs w:val="24"/>
          <w:rtl w:val="0"/>
        </w:rPr>
        <w:t xml:space="preserve">Aplicação da Lei Municipal nº 66/2017, cujos dispositivos indicados não padecem de inconstitucionalidade</w:t>
      </w:r>
      <w:r w:rsidDel="00000000" w:rsidR="00000000" w:rsidRPr="00000000">
        <w:rPr>
          <w:i w:val="1"/>
          <w:sz w:val="24"/>
          <w:szCs w:val="24"/>
          <w:rtl w:val="0"/>
        </w:rPr>
        <w:t xml:space="preserve"> – Ausência de discricionariedade administrativa – Óbices financeiros e orçamentários não verificados – Inviabilidade de suspensão do processo à vista da ação coletiva em andamento – </w:t>
      </w:r>
      <w:r w:rsidDel="00000000" w:rsidR="00000000" w:rsidRPr="00000000">
        <w:rPr>
          <w:b w:val="1"/>
          <w:i w:val="1"/>
          <w:sz w:val="24"/>
          <w:szCs w:val="24"/>
          <w:rtl w:val="0"/>
        </w:rPr>
        <w:t xml:space="preserve">Recurso improvido</w:t>
      </w:r>
      <w:r w:rsidDel="00000000" w:rsidR="00000000" w:rsidRPr="00000000">
        <w:rPr>
          <w:i w:val="1"/>
          <w:sz w:val="24"/>
          <w:szCs w:val="24"/>
          <w:rtl w:val="0"/>
        </w:rPr>
        <w:t xml:space="preserve">. (TJSP;  Recurso Inominado Cível 1003109-50.2021.8.26.0428; Rel. Ricardo Hoffmann; Turma da Fazenda Pública; Foro de Paulínia; 15/03/2023)</w:t>
      </w:r>
    </w:p>
    <w:p w:rsidR="00000000" w:rsidDel="00000000" w:rsidP="00000000" w:rsidRDefault="00000000" w:rsidRPr="00000000" w14:paraId="00000007">
      <w:pPr>
        <w:spacing w:after="200" w:before="200" w:line="276" w:lineRule="auto"/>
        <w:ind w:left="283.46456692913375" w:firstLine="0"/>
        <w:jc w:val="both"/>
        <w:rPr>
          <w:i w:val="1"/>
          <w:sz w:val="24"/>
          <w:szCs w:val="24"/>
        </w:rPr>
      </w:pPr>
      <w:r w:rsidDel="00000000" w:rsidR="00000000" w:rsidRPr="00000000">
        <w:rPr>
          <w:i w:val="1"/>
          <w:sz w:val="24"/>
          <w:szCs w:val="24"/>
          <w:rtl w:val="0"/>
        </w:rPr>
        <w:t xml:space="preserve">DIREITO ADMINISTRATIVO. Servidor público do Município de Paulínia – Evolução funcional - Progressão vertical - Lei Complementar Municipal nº 66/2017 - Possibilidade – </w:t>
      </w:r>
      <w:r w:rsidDel="00000000" w:rsidR="00000000" w:rsidRPr="00000000">
        <w:rPr>
          <w:b w:val="1"/>
          <w:i w:val="1"/>
          <w:sz w:val="24"/>
          <w:szCs w:val="24"/>
          <w:rtl w:val="0"/>
        </w:rPr>
        <w:t xml:space="preserve">Inconstitucionalidade da lei municipal afastada</w:t>
      </w:r>
      <w:r w:rsidDel="00000000" w:rsidR="00000000" w:rsidRPr="00000000">
        <w:rPr>
          <w:i w:val="1"/>
          <w:sz w:val="24"/>
          <w:szCs w:val="24"/>
          <w:rtl w:val="0"/>
        </w:rPr>
        <w:t xml:space="preserve"> - O Município não se exime da obrigação de promover a progressão vertical dos servidores que preencham os requisitos legais ao argumento de falta de previsão orçamentária. Tema 1.075 do C. STJ: "É ilegal o ato de não concessão de progressão funcional de servidor público, quando atendidos todos os requisitos legais, a despeito de superados os limites orçamentários previstos na Lei de Responsabilidade Fiscal, referentes a gastos com pessoal de ente público, tendo em vista que a progressão é direito subjetivo do servidor público, decorrente de determinação legal, estando compreendida na exceção prevista no inciso I do parágrafo único do art. 22 da Lei Complementar 101/2000."  Não obrigatoriedade de suspensão do feito individual, em razão da existência de causa coletiva em andamento. Sentença de procedência. Solução adotada em primeiro grau em harmonia com os precedentes desta Turma Recursal. </w:t>
      </w:r>
      <w:r w:rsidDel="00000000" w:rsidR="00000000" w:rsidRPr="00000000">
        <w:rPr>
          <w:b w:val="1"/>
          <w:i w:val="1"/>
          <w:sz w:val="24"/>
          <w:szCs w:val="24"/>
          <w:rtl w:val="0"/>
        </w:rPr>
        <w:t xml:space="preserve">Sentença mantida por seus próprios fundamentos, arcando a recorrente com o pagamento de honorários advocatícios arbitrados em 10% do valor atualizado da condenação</w:t>
      </w:r>
      <w:r w:rsidDel="00000000" w:rsidR="00000000" w:rsidRPr="00000000">
        <w:rPr>
          <w:i w:val="1"/>
          <w:sz w:val="24"/>
          <w:szCs w:val="24"/>
          <w:rtl w:val="0"/>
        </w:rPr>
        <w:t xml:space="preserve">. Recurso desprovido.  (TJSP;  Recurso Inominado Cível 1003356-31.2021.8.26.0428; Rel. Eduardo Bigolin; Turma da Fazenda Pública; Foro de Paulínia; 08/02/2023)</w:t>
      </w:r>
    </w:p>
    <w:p w:rsidR="00000000" w:rsidDel="00000000" w:rsidP="00000000" w:rsidRDefault="00000000" w:rsidRPr="00000000" w14:paraId="00000008">
      <w:pPr>
        <w:spacing w:after="200" w:before="200" w:line="276" w:lineRule="auto"/>
        <w:jc w:val="both"/>
        <w:rPr>
          <w:sz w:val="24"/>
          <w:szCs w:val="24"/>
        </w:rPr>
      </w:pPr>
      <w:r w:rsidDel="00000000" w:rsidR="00000000" w:rsidRPr="00000000">
        <w:rPr>
          <w:sz w:val="24"/>
          <w:szCs w:val="24"/>
          <w:rtl w:val="0"/>
        </w:rPr>
        <w:t xml:space="preserve">Conforme é possível perceber nas ementas acima destacadas, o principal e único argumento defensivo da Fazenda Pública - não observância do art. 113 do ADCT - vem sendo expressamente rechaçado pelas instância superiores, que não reconhecem qualquer vício de constitucionalidade no Plano de Cargos e Carreiras e Vencimentos (PCCV), já que haveria documento estimativo do impacto da despesa no projeto de lei que originou a Lei Complementar Municipal nº 65/2017. Essa situação acaba por prejudicar a interposição de futuro recurso extraordinário ao Supremo Tribunal Federal, em razão da impossibilidade de se discutir a adequação da premissa fática adotada pelo órgão julgador de origem. Nos termos da Súmula STF 279, “para simples reexame de prova não cabe recurso extraordinário”. Dessa forma, a chance de sucesso de eventuais recursos é praticamente nula, ensejando, a fixação de honorários advocatícios, conforme prevê o art. 55 da Lei nº 9.099/1995. Com efeito, entendo que a prática do ato processual possa resultar “em prejuízo aos interesses do Município”, o que autoriza a não interposição do recurso consoante disposição prevista no artigo 1º, inciso VIII da Resolução PGM nº 04/2023</w:t>
      </w:r>
    </w:p>
    <w:p w:rsidR="00000000" w:rsidDel="00000000" w:rsidP="00000000" w:rsidRDefault="00000000" w:rsidRPr="00000000" w14:paraId="00000009">
      <w:pPr>
        <w:spacing w:after="200" w:before="200" w:line="276" w:lineRule="auto"/>
        <w:jc w:val="both"/>
        <w:rPr>
          <w:sz w:val="24"/>
          <w:szCs w:val="24"/>
        </w:rPr>
      </w:pPr>
      <w:r w:rsidDel="00000000" w:rsidR="00000000" w:rsidRPr="00000000">
        <w:rPr>
          <w:sz w:val="24"/>
          <w:szCs w:val="24"/>
          <w:rtl w:val="0"/>
        </w:rPr>
        <w:t xml:space="preserve">Destarte, com supedâneo no princípio da autonomia técnico-jurídica que orienta a Procuradoria Geral do Município com base na Resolução PGM nº 04/2023, deixo de recorrer dos atos decisórios abordados na presente certidão. </w:t>
      </w:r>
    </w:p>
    <w:p w:rsidR="00000000" w:rsidDel="00000000" w:rsidP="00000000" w:rsidRDefault="00000000" w:rsidRPr="00000000" w14:paraId="0000000A">
      <w:pPr>
        <w:spacing w:after="200" w:before="200" w:line="276" w:lineRule="auto"/>
        <w:jc w:val="both"/>
        <w:rPr>
          <w:sz w:val="24"/>
          <w:szCs w:val="24"/>
        </w:rPr>
      </w:pPr>
      <w:bookmarkStart w:colFirst="0" w:colLast="0" w:name="_65nme8hz8xmi" w:id="2"/>
      <w:bookmarkEnd w:id="2"/>
      <w:r w:rsidDel="00000000" w:rsidR="00000000" w:rsidRPr="00000000">
        <w:rPr>
          <w:sz w:val="24"/>
          <w:szCs w:val="24"/>
          <w:rtl w:val="0"/>
        </w:rPr>
        <w:t xml:space="preserve">PGM, @Data</w:t>
      </w:r>
    </w:p>
    <w:p w:rsidR="00000000" w:rsidDel="00000000" w:rsidP="00000000" w:rsidRDefault="00000000" w:rsidRPr="00000000" w14:paraId="0000000B">
      <w:pPr>
        <w:spacing w:after="0" w:line="276" w:lineRule="auto"/>
        <w:jc w:val="center"/>
        <w:rPr>
          <w:b w:val="1"/>
          <w:sz w:val="24"/>
          <w:szCs w:val="24"/>
        </w:rPr>
      </w:pPr>
      <w:bookmarkStart w:colFirst="0" w:colLast="0" w:name="_tvv5gcfdoomr" w:id="3"/>
      <w:bookmarkEnd w:id="3"/>
      <w:r w:rsidDel="00000000" w:rsidR="00000000" w:rsidRPr="00000000">
        <w:rPr>
          <w:b w:val="1"/>
          <w:sz w:val="24"/>
          <w:szCs w:val="24"/>
          <w:rtl w:val="0"/>
        </w:rPr>
        <w:t xml:space="preserve">@NomeProcurador</w:t>
      </w:r>
    </w:p>
    <w:p w:rsidR="00000000" w:rsidDel="00000000" w:rsidP="00000000" w:rsidRDefault="00000000" w:rsidRPr="00000000" w14:paraId="0000000C">
      <w:pPr>
        <w:spacing w:after="0" w:line="276" w:lineRule="auto"/>
        <w:jc w:val="center"/>
        <w:rPr>
          <w:b w:val="1"/>
          <w:sz w:val="24"/>
          <w:szCs w:val="24"/>
        </w:rPr>
      </w:pPr>
      <w:bookmarkStart w:colFirst="0" w:colLast="0" w:name="_fd7qy3qjzdhh" w:id="4"/>
      <w:bookmarkEnd w:id="4"/>
      <w:r w:rsidDel="00000000" w:rsidR="00000000" w:rsidRPr="00000000">
        <w:rPr>
          <w:b w:val="1"/>
          <w:sz w:val="24"/>
          <w:szCs w:val="24"/>
          <w:rtl w:val="0"/>
        </w:rPr>
        <w:t xml:space="preserve">Procurador do Município</w:t>
      </w:r>
    </w:p>
    <w:p w:rsidR="00000000" w:rsidDel="00000000" w:rsidP="00000000" w:rsidRDefault="00000000" w:rsidRPr="00000000" w14:paraId="0000000D">
      <w:pPr>
        <w:spacing w:after="0" w:line="276" w:lineRule="auto"/>
        <w:jc w:val="center"/>
        <w:rPr>
          <w:b w:val="1"/>
          <w:sz w:val="24"/>
          <w:szCs w:val="24"/>
        </w:rPr>
      </w:pPr>
      <w:bookmarkStart w:colFirst="0" w:colLast="0" w:name="_7u0utwpkc8gk" w:id="5"/>
      <w:bookmarkEnd w:id="5"/>
      <w:r w:rsidDel="00000000" w:rsidR="00000000" w:rsidRPr="00000000">
        <w:rPr>
          <w:b w:val="1"/>
          <w:sz w:val="24"/>
          <w:szCs w:val="24"/>
          <w:rtl w:val="0"/>
        </w:rPr>
        <w:t xml:space="preserve">OAB/SP @OAB</w:t>
      </w:r>
      <w:r w:rsidDel="00000000" w:rsidR="00000000" w:rsidRPr="00000000">
        <w:rPr>
          <w:rtl w:val="0"/>
        </w:rPr>
      </w:r>
    </w:p>
    <w:p w:rsidR="00000000" w:rsidDel="00000000" w:rsidP="00000000" w:rsidRDefault="00000000" w:rsidRPr="00000000" w14:paraId="0000000E">
      <w:pPr>
        <w:spacing w:after="200" w:before="200" w:line="276" w:lineRule="auto"/>
        <w:ind w:left="0" w:firstLine="0"/>
        <w:jc w:val="center"/>
        <w:rPr>
          <w:b w:val="1"/>
          <w:sz w:val="24"/>
          <w:szCs w:val="24"/>
        </w:rPr>
      </w:pPr>
      <w:bookmarkStart w:colFirst="0" w:colLast="0" w:name="_5vvb6lz7hj8t" w:id="6"/>
      <w:bookmarkEnd w:id="6"/>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17" w:top="1417" w:left="1701" w:right="1701" w:header="1587.4015748031497" w:footer="1417.32283464566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595.45pt;height:841.9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595.45pt;height:841.9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595.45pt;height:841.9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