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0E5AA7"/>
          <w:sz w:val="26"/>
          <w:szCs w:val="26"/>
        </w:rPr>
        <w:t xml:space="preserve">GOTTLIEB BUILD &amp; DESIGN</w:t>
      </w:r>
    </w:p>
    <w:p>
      <w:pPr>
        <w:spacing w:after="400" w:before="100"/>
        <w:jc w:val="center"/>
      </w:pPr>
      <w:r>
        <w:rPr>
          <w:color w:val="2B2F36"/>
          <w:sz w:val="20"/>
          <w:szCs w:val="20"/>
        </w:rPr>
        <w:t xml:space="preserve">CONSTRUCTION OPERATING SYSTEM</w:t>
      </w:r>
    </w:p>
    <w:p>
      <w:pPr>
        <w:spacing w:before="800"/>
        <w:jc w:val="center"/>
      </w:pPr>
      <w:r>
        <w:rPr>
          <w:b/>
          <w:bCs/>
          <w:color w:val="071B2E"/>
          <w:sz w:val="56"/>
          <w:szCs w:val="56"/>
        </w:rPr>
        <w:t xml:space="preserve">ARCHITECTURE
BIBLE</w:t>
      </w:r>
    </w:p>
    <w:p>
      <w:pPr>
        <w:spacing w:after="800" w:before="200"/>
        <w:jc w:val="center"/>
      </w:pPr>
      <w:r>
        <w:rPr>
          <w:i/>
          <w:iCs/>
          <w:color w:val="0E5AA7"/>
          <w:sz w:val="24"/>
          <w:szCs w:val="24"/>
        </w:rPr>
        <w:t xml:space="preserve">System Architecture Bible</w:t>
      </w:r>
    </w:p>
    <w:p>
      <w:pPr>
        <w:spacing w:before="2400"/>
        <w:jc w:val="center"/>
      </w:pPr>
      <w:r>
        <w:rPr>
          <w:color w:val="2B2F36"/>
          <w:sz w:val="20"/>
          <w:szCs w:val="20"/>
        </w:rPr>
        <w:t xml:space="preserve">CLAUDE MASTER PROMPT 003.5 · Document 13-Architecture-Bible</w:t>
      </w:r>
    </w:p>
    <w:p>
      <w:pPr>
        <w:spacing w:before="100"/>
        <w:jc w:val="center"/>
      </w:pPr>
      <w:r>
        <w:rPr>
          <w:color w:val="2B2F36"/>
          <w:sz w:val="20"/>
          <w:szCs w:val="20"/>
        </w:rPr>
        <w:t xml:space="preserve">Module Communication, Event System &amp; the Five Core Systems</w:t>
      </w:r>
    </w:p>
    <w:p>
      <w:pPr>
        <w:spacing w:before="100"/>
        <w:jc w:val="center"/>
      </w:pPr>
      <w:r>
        <w:rPr>
          <w:b/>
          <w:bCs/>
          <w:color w:val="C9CDD2"/>
          <w:sz w:val="18"/>
          <w:szCs w:val="18"/>
        </w:rPr>
        <w:t xml:space="preserve">Status: Draft for Approval</w:t>
      </w:r>
    </w:p>
    <w:p>
      <w:r>
        <w:br w:type="page"/>
      </w:r>
    </w:p>
    <w:p>
      <w:pPr>
        <w:sectPr>
          <w:pgSz w:w="12240" w:h="15840" w:orient="portrait"/>
          <w:pgMar w:top="1440" w:right="1440" w:bottom="1440" w:left="1440" w:header="708" w:footer="708" w:gutter="0"/>
          <w:pgNumType/>
          <w:docGrid w:linePitch="360"/>
        </w:sectPr>
      </w:pPr>
    </w:p>
    <w:p>
      <w:pPr>
        <w:pStyle w:val="Heading1"/>
        <w:spacing w:after="240" w:before="480"/>
      </w:pPr>
      <w:r>
        <w:rPr>
          <w:color w:val="071B2E"/>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after="240" w:before="480"/>
      </w:pPr>
      <w:r>
        <w:rPr>
          <w:color w:val="071B2E"/>
        </w:rPr>
        <w:t xml:space="preserve">Chapter 1 — Purpose &amp; Position in the Document Set</w:t>
      </w:r>
    </w:p>
    <w:p>
      <w:pPr>
        <w:spacing w:after="160"/>
      </w:pPr>
      <w:r>
        <w:t xml:space="preserve">The System Architecture Bible is the software blueprint that sits between the Master PRD (what the platform does) and the Engineering Standards Manual (how code is written). Where the Engineering Standards Manual governs folder structure, naming, and per-module conventions, this document answers a different question: how do the pieces talk to each other? Module communication, the event system, permission inheritance, and the boundaries between the five core systems are specified here once, so every future module — and every future Claude build prompt — plugs into the same blueprint instead of inventing its own integration pattern.</w:t>
      </w:r>
    </w:p>
    <w:tbl>
      <w:tblPr>
        <w:tblW w:type="pct" w:w="100%"/>
        <w:tblBorders>
          <w:top w:val="single" w:color="0E5AA7" w:sz="4"/>
          <w:left w:val="single" w:color="0E5AA7" w:sz="4"/>
          <w:bottom w:val="single" w:color="0E5AA7" w:sz="4"/>
          <w:right w:val="single" w:color="0E5AA7" w:sz="4"/>
          <w:insideH w:val="single" w:color="auto" w:sz="4"/>
          <w:insideV w:val="single" w:color="auto" w:sz="4"/>
        </w:tblBorders>
      </w:tblPr>
      <w:tblGrid>
        <w:gridCol w:w="100"/>
      </w:tblGrid>
      <w:tr>
        <w:tc>
          <w:tcPr>
            <w:shd w:fill="EAF1F8" w:val="clear"/>
            <w:tcMar>
              <w:top w:type="dxa" w:w="160"/>
              <w:left w:type="dxa" w:w="200"/>
              <w:bottom w:type="dxa" w:w="160"/>
              <w:right w:type="dxa" w:w="200"/>
            </w:tcMar>
          </w:tcPr>
          <w:p>
            <w:r>
              <w:rPr>
                <w:i/>
                <w:iCs/>
                <w:color w:val="071B2E"/>
              </w:rPr>
              <w:t xml:space="preserve">This document does not redesign the PRD architecture (Volume III) or the Engineering Standards. It makes explicit what PRD Volume III's 'integration boundaries' meant operationally — the wiring diagram behind the box diagram.</w:t>
            </w:r>
          </w:p>
        </w:tc>
      </w:tr>
    </w:tbl>
    <w:p>
      <w:pPr>
        <w:pStyle w:val="Heading1"/>
        <w:spacing w:after="240" w:before="480"/>
      </w:pPr>
      <w:r>
        <w:rPr>
          <w:color w:val="071B2E"/>
        </w:rPr>
        <w:t xml:space="preserve">Chapter 2 — The Five Core Systems</w:t>
      </w:r>
    </w:p>
    <w:p>
      <w:pPr>
        <w:spacing w:after="160"/>
      </w:pPr>
      <w:r>
        <w:t xml:space="preserve">Everything in the Gottlieb ecosystem is one of five systems. A module that doesn't clearly belong to one of these five is not ready to be built — its home must be resolved first.</w:t>
      </w:r>
    </w:p>
    <w:p>
      <w:pPr>
        <w:pStyle w:val="Heading2"/>
        <w:spacing w:after="180" w:before="360"/>
      </w:pPr>
      <w:r>
        <w:rPr>
          <w:color w:val="0E5AA7"/>
        </w:rPr>
        <w:t xml:space="preserve">2.1 GOS Core — Shared Services</w:t>
      </w:r>
    </w:p>
    <w:p>
      <w:pPr>
        <w:spacing w:after="160"/>
      </w:pPr>
      <w:r>
        <w:t xml:space="preserve">The foundation every current and future GOS application builds on. GOS Core owns nothing construction-specific:</w:t>
      </w:r>
    </w:p>
    <w:p>
      <w:pPr>
        <w:pStyle w:val="ListParagraph"/>
        <w:numPr>
          <w:ilvl w:val="0"/>
          <w:numId w:val="2"/>
        </w:numPr>
        <w:spacing w:after="60"/>
      </w:pPr>
      <w:r>
        <w:t xml:space="preserve">Authentication (Supabase Auth, session management)</w:t>
      </w:r>
    </w:p>
    <w:p>
      <w:pPr>
        <w:pStyle w:val="ListParagraph"/>
        <w:numPr>
          <w:ilvl w:val="0"/>
          <w:numId w:val="2"/>
        </w:numPr>
        <w:spacing w:after="60"/>
      </w:pPr>
      <w:r>
        <w:t xml:space="preserve">Organizations (firms, companies, tenant boundary)</w:t>
      </w:r>
    </w:p>
    <w:p>
      <w:pPr>
        <w:pStyle w:val="ListParagraph"/>
        <w:numPr>
          <w:ilvl w:val="0"/>
          <w:numId w:val="2"/>
        </w:numPr>
        <w:spacing w:after="60"/>
      </w:pPr>
      <w:r>
        <w:t xml:space="preserve">Users (identity, profile, preferred language)</w:t>
      </w:r>
    </w:p>
    <w:p>
      <w:pPr>
        <w:pStyle w:val="ListParagraph"/>
        <w:numPr>
          <w:ilvl w:val="0"/>
          <w:numId w:val="2"/>
        </w:numPr>
        <w:spacing w:after="60"/>
      </w:pPr>
      <w:r>
        <w:t xml:space="preserve">Roles (the role catalog and its definitions)</w:t>
      </w:r>
    </w:p>
    <w:p>
      <w:pPr>
        <w:pStyle w:val="ListParagraph"/>
        <w:numPr>
          <w:ilvl w:val="0"/>
          <w:numId w:val="2"/>
        </w:numPr>
        <w:spacing w:after="60"/>
      </w:pPr>
      <w:r>
        <w:t xml:space="preserve">Permissions (the RLS pattern library — Project-Membership, Ownership, Global-Only)</w:t>
      </w:r>
    </w:p>
    <w:p>
      <w:pPr>
        <w:pStyle w:val="ListParagraph"/>
        <w:numPr>
          <w:ilvl w:val="0"/>
          <w:numId w:val="2"/>
        </w:numPr>
        <w:spacing w:after="60"/>
      </w:pPr>
      <w:r>
        <w:t xml:space="preserve">Notifications (delivery, preferences, translation)</w:t>
      </w:r>
    </w:p>
    <w:p>
      <w:pPr>
        <w:pStyle w:val="ListParagraph"/>
        <w:numPr>
          <w:ilvl w:val="0"/>
          <w:numId w:val="2"/>
        </w:numPr>
        <w:spacing w:after="60"/>
      </w:pPr>
      <w:r>
        <w:t xml:space="preserve">Audit Logs (the cross-system audit trail)</w:t>
      </w:r>
    </w:p>
    <w:p>
      <w:pPr>
        <w:pStyle w:val="ListParagraph"/>
        <w:numPr>
          <w:ilvl w:val="0"/>
          <w:numId w:val="2"/>
        </w:numPr>
        <w:spacing w:after="60"/>
      </w:pPr>
      <w:r>
        <w:t xml:space="preserve">Language (translation strings, locale/RTL config)</w:t>
      </w:r>
    </w:p>
    <w:p>
      <w:pPr>
        <w:pStyle w:val="ListParagraph"/>
        <w:numPr>
          <w:ilvl w:val="0"/>
          <w:numId w:val="2"/>
        </w:numPr>
        <w:spacing w:after="60"/>
      </w:pPr>
      <w:r>
        <w:t xml:space="preserve">File Storage (signed-URL issuance, bucket policy)</w:t>
      </w:r>
    </w:p>
    <w:p>
      <w:pPr>
        <w:pStyle w:val="ListParagraph"/>
        <w:numPr>
          <w:ilvl w:val="0"/>
          <w:numId w:val="2"/>
        </w:numPr>
        <w:spacing w:after="60"/>
      </w:pPr>
      <w:r>
        <w:t xml:space="preserve">AI Services (the shared AI Gateway, Chapter 5)</w:t>
      </w:r>
    </w:p>
    <w:p>
      <w:pPr>
        <w:pStyle w:val="ListParagraph"/>
        <w:numPr>
          <w:ilvl w:val="0"/>
          <w:numId w:val="2"/>
        </w:numPr>
        <w:spacing w:after="60"/>
      </w:pPr>
      <w:r>
        <w:t xml:space="preserve">API Gateway (authentication, rate limiting, request logging for every app built on GOS Core)</w:t>
      </w:r>
    </w:p>
    <w:p>
      <w:pPr>
        <w:pStyle w:val="Heading2"/>
        <w:spacing w:after="180" w:before="360"/>
      </w:pPr>
      <w:r>
        <w:rPr>
          <w:color w:val="0E5AA7"/>
        </w:rPr>
        <w:t xml:space="preserve">2.2 Gottlieb Build &amp; Design — Construction Domain</w:t>
      </w:r>
    </w:p>
    <w:p>
      <w:pPr>
        <w:spacing w:after="160"/>
      </w:pPr>
      <w:r>
        <w:t xml:space="preserve">Everything specific to running a construction project, consuming GOS Core as a dependency, never reimplementing it:</w:t>
      </w:r>
    </w:p>
    <w:p>
      <w:pPr>
        <w:pStyle w:val="ListParagraph"/>
        <w:numPr>
          <w:ilvl w:val="0"/>
          <w:numId w:val="2"/>
        </w:numPr>
        <w:spacing w:after="60"/>
      </w:pPr>
      <w:r>
        <w:t xml:space="preserve">Projects</w:t>
      </w:r>
    </w:p>
    <w:p>
      <w:pPr>
        <w:pStyle w:val="ListParagraph"/>
        <w:numPr>
          <w:ilvl w:val="0"/>
          <w:numId w:val="2"/>
        </w:numPr>
        <w:spacing w:after="60"/>
      </w:pPr>
      <w:r>
        <w:t xml:space="preserve">Estimating</w:t>
      </w:r>
    </w:p>
    <w:p>
      <w:pPr>
        <w:pStyle w:val="ListParagraph"/>
        <w:numPr>
          <w:ilvl w:val="0"/>
          <w:numId w:val="2"/>
        </w:numPr>
        <w:spacing w:after="60"/>
      </w:pPr>
      <w:r>
        <w:t xml:space="preserve">Blueprint Studio</w:t>
      </w:r>
    </w:p>
    <w:p>
      <w:pPr>
        <w:pStyle w:val="ListParagraph"/>
        <w:numPr>
          <w:ilvl w:val="0"/>
          <w:numId w:val="2"/>
        </w:numPr>
        <w:spacing w:after="60"/>
      </w:pPr>
      <w:r>
        <w:t xml:space="preserve">3D Design Studio &amp; Material Studio</w:t>
      </w:r>
    </w:p>
    <w:p>
      <w:pPr>
        <w:pStyle w:val="ListParagraph"/>
        <w:numPr>
          <w:ilvl w:val="0"/>
          <w:numId w:val="2"/>
        </w:numPr>
        <w:spacing w:after="60"/>
      </w:pPr>
      <w:r>
        <w:t xml:space="preserve">Progress &amp; Scheduling</w:t>
      </w:r>
    </w:p>
    <w:p>
      <w:pPr>
        <w:pStyle w:val="ListParagraph"/>
        <w:numPr>
          <w:ilvl w:val="0"/>
          <w:numId w:val="2"/>
        </w:numPr>
        <w:spacing w:after="60"/>
      </w:pPr>
      <w:r>
        <w:t xml:space="preserve">Client, Vendor, and Subcontractor portals</w:t>
      </w:r>
    </w:p>
    <w:p>
      <w:pPr>
        <w:pStyle w:val="Heading2"/>
        <w:spacing w:after="180" w:before="360"/>
      </w:pPr>
      <w:r>
        <w:rPr>
          <w:color w:val="0E5AA7"/>
        </w:rPr>
        <w:t xml:space="preserve">2.3 GOS Document Generator — Documents Only</w:t>
      </w:r>
    </w:p>
    <w:p>
      <w:pPr>
        <w:spacing w:after="160"/>
      </w:pPr>
      <w:r>
        <w:t xml:space="preserve">The Document Generator is intentionally the least aware system in the ecosystem. It has no model of a project, a blueprint, a schedule, or a 3D scene — it only knows how to turn a structured payload into a document. Build &amp; Design says "create Estimate #1025"; the Document Generator returns an estimate PDF, a signature URL, and a document ID. That is the entire contract (Chapter 6).</w:t>
      </w:r>
    </w:p>
    <w:p>
      <w:pPr>
        <w:pStyle w:val="Heading2"/>
        <w:spacing w:after="180" w:before="360"/>
      </w:pPr>
      <w:r>
        <w:rPr>
          <w:color w:val="0E5AA7"/>
        </w:rPr>
        <w:t xml:space="preserve">2.4 Future Medical Administration OS</w:t>
      </w:r>
    </w:p>
    <w:p>
      <w:pPr>
        <w:spacing w:after="160"/>
      </w:pPr>
      <w:r>
        <w:t xml:space="preserve">Separate forever, per PRD Volume I, Chapter 2.4 and every subsequent volume that touches this boundary. Different permissions, different workflows, different compliance regime (HIPAA). It may eventually consume GOS Core the way Build &amp; Design does, but it will never share a database, a deployment, or a domain object with Build &amp; Design.</w:t>
      </w:r>
    </w:p>
    <w:p>
      <w:pPr>
        <w:pStyle w:val="Heading2"/>
        <w:spacing w:after="180" w:before="360"/>
      </w:pPr>
      <w:r>
        <w:rPr>
          <w:color w:val="0E5AA7"/>
        </w:rPr>
        <w:t xml:space="preserve">2.5 AI Services</w:t>
      </w:r>
    </w:p>
    <w:p>
      <w:pPr>
        <w:spacing w:after="160"/>
      </w:pPr>
      <w:r>
        <w:t xml:space="preserve">Structured as a shared service inside GOS Core rather than owned by any one application, so every current and future GOS app — Build &amp; Design today, Medical Administration OS eventually — calls the same AI Gateway rather than each standing up its own AI integration. Current and planned capabilities: AI Estimator, AI Blueprint Reader, AI Translator, AI Scheduler, AI Assistant, AI Search.</w:t>
      </w:r>
    </w:p>
    <w:tbl>
      <w:tblPr>
        <w:tblW w:type="pct" w:w="100%"/>
        <w:tblBorders>
          <w:top w:val="single" w:color="0E5AA7" w:sz="4"/>
          <w:left w:val="single" w:color="0E5AA7" w:sz="4"/>
          <w:bottom w:val="single" w:color="0E5AA7" w:sz="4"/>
          <w:right w:val="single" w:color="0E5AA7" w:sz="4"/>
          <w:insideH w:val="single" w:color="auto" w:sz="4"/>
          <w:insideV w:val="single" w:color="auto" w:sz="4"/>
        </w:tblBorders>
      </w:tblPr>
      <w:tblGrid>
        <w:gridCol w:w="100"/>
      </w:tblGrid>
      <w:tr>
        <w:tc>
          <w:tcPr>
            <w:shd w:fill="EAF1F8" w:val="clear"/>
            <w:tcMar>
              <w:top w:type="dxa" w:w="160"/>
              <w:left w:type="dxa" w:w="200"/>
              <w:bottom w:type="dxa" w:w="160"/>
              <w:right w:type="dxa" w:w="200"/>
            </w:tcMar>
          </w:tcPr>
          <w:p>
            <w:r>
              <w:rPr>
                <w:i/>
                <w:iCs/>
                <w:color w:val="071B2E"/>
              </w:rPr>
              <w:t xml:space="preserve">Test for any new capability: which of the five systems owns it? If the answer is "a bit of both," the capability is scoped wrong and needs to be split at the system boundary before a single line of code is written.</w:t>
            </w:r>
          </w:p>
        </w:tc>
      </w:tr>
    </w:tbl>
    <w:p>
      <w:pPr>
        <w:pStyle w:val="Heading1"/>
        <w:spacing w:after="240" w:before="480"/>
      </w:pPr>
      <w:r>
        <w:rPr>
          <w:color w:val="071B2E"/>
        </w:rPr>
        <w:t xml:space="preserve">Chapter 3 — Module Communication &amp; the Event System</w:t>
      </w:r>
    </w:p>
    <w:p>
      <w:pPr>
        <w:pStyle w:val="Heading2"/>
        <w:spacing w:after="180" w:before="360"/>
      </w:pPr>
      <w:r>
        <w:rPr>
          <w:color w:val="0E5AA7"/>
        </w:rPr>
        <w:t xml:space="preserve">3.1 Two Communication Modes</w:t>
      </w:r>
    </w:p>
    <w:p>
      <w:pPr>
        <w:spacing w:after="160"/>
      </w:pPr>
      <w:r>
        <w:t xml:space="preserve">Modules communicate in exactly two ways, and every cross-module interaction must be classified as one or the other:</w:t>
      </w:r>
    </w:p>
    <w:p>
      <w:pPr>
        <w:pStyle w:val="ListParagraph"/>
        <w:numPr>
          <w:ilvl w:val="0"/>
          <w:numId w:val="2"/>
        </w:numPr>
        <w:spacing w:after="60"/>
      </w:pPr>
      <w:r>
        <w:t xml:space="preserve">Synchronous request/response — used when the caller needs an immediate answer to proceed (e.g. the 3D Studio requesting the current material catalog). Implemented as typed server actions or internal API calls per Engineering Standards Ch. 2.</w:t>
      </w:r>
    </w:p>
    <w:p>
      <w:pPr>
        <w:pStyle w:val="ListParagraph"/>
        <w:numPr>
          <w:ilvl w:val="0"/>
          <w:numId w:val="2"/>
        </w:numPr>
        <w:spacing w:after="60"/>
      </w:pPr>
      <w:r>
        <w:t xml:space="preserve">Asynchronous events — used when the caller needs to announce that something happened, without waiting for or caring who reacts (e.g. an estimate being approved). Implemented via a Postgres-backed event table plus Supabase Realtime for live delivery.</w:t>
      </w:r>
    </w:p>
    <w:p>
      <w:pPr>
        <w:pStyle w:val="Heading2"/>
        <w:spacing w:after="180" w:before="360"/>
      </w:pPr>
      <w:r>
        <w:rPr>
          <w:color w:val="0E5AA7"/>
        </w:rPr>
        <w:t xml:space="preserve">3.2 The Event Table</w:t>
      </w:r>
    </w:p>
    <w:p>
      <w:pPr>
        <w:spacing w:after="160"/>
      </w:pPr>
      <w:r>
        <w:t xml:space="preserve">A single events table (event_type, entity_type, entity_id, project_id, payload, created_at, created_by) is the backbone of cross-module communication. Modules publish events; other modules subscribe by event_type. This is what lets Notifications, Audit Logs, AI Services, and the Activity Feed all react to "estimate.approved" without Estimating needing to know any of them exist.</w:t>
      </w:r>
    </w:p>
    <w:p>
      <w:pPr>
        <w:pStyle w:val="Heading2"/>
        <w:spacing w:after="180" w:before="360"/>
      </w:pPr>
      <w:r>
        <w:rPr>
          <w:color w:val="0E5AA7"/>
        </w:rPr>
        <w:t xml:space="preserve">3.3 Core Event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00"/>
      </w:tblGrid>
      <w:tr>
        <w:trPr>
          <w:tblHeader/>
        </w:trPr>
        <w:tc>
          <w:tcPr>
            <w:shd w:fill="071B2E" w:val="clear"/>
            <w:tcMar>
              <w:top w:type="dxa" w:w="100"/>
              <w:left w:type="dxa" w:w="120"/>
              <w:bottom w:type="dxa" w:w="100"/>
              <w:right w:type="dxa" w:w="120"/>
            </w:tcMar>
          </w:tcPr>
          <w:p>
            <w:r>
              <w:rPr>
                <w:b/>
                <w:bCs/>
                <w:color w:val="FFFFFF"/>
                <w:sz w:val="20"/>
                <w:szCs w:val="20"/>
              </w:rPr>
              <w:t xml:space="preserve">Event Type</w:t>
            </w:r>
          </w:p>
        </w:tc>
        <w:tc>
          <w:tcPr>
            <w:shd w:fill="071B2E" w:val="clear"/>
            <w:tcMar>
              <w:top w:type="dxa" w:w="100"/>
              <w:left w:type="dxa" w:w="120"/>
              <w:bottom w:type="dxa" w:w="100"/>
              <w:right w:type="dxa" w:w="120"/>
            </w:tcMar>
          </w:tcPr>
          <w:p>
            <w:r>
              <w:rPr>
                <w:b/>
                <w:bCs/>
                <w:color w:val="FFFFFF"/>
                <w:sz w:val="20"/>
                <w:szCs w:val="20"/>
              </w:rPr>
              <w:t xml:space="preserve">Published By</w:t>
            </w:r>
          </w:p>
        </w:tc>
        <w:tc>
          <w:tcPr>
            <w:shd w:fill="071B2E" w:val="clear"/>
            <w:tcMar>
              <w:top w:type="dxa" w:w="100"/>
              <w:left w:type="dxa" w:w="120"/>
              <w:bottom w:type="dxa" w:w="100"/>
              <w:right w:type="dxa" w:w="120"/>
            </w:tcMar>
          </w:tcPr>
          <w:p>
            <w:r>
              <w:rPr>
                <w:b/>
                <w:bCs/>
                <w:color w:val="FFFFFF"/>
                <w:sz w:val="20"/>
                <w:szCs w:val="20"/>
              </w:rPr>
              <w:t xml:space="preserve">Typical Subscribers</w:t>
            </w:r>
          </w:p>
        </w:tc>
      </w:tr>
      <w:tr>
        <w:tc>
          <w:tcPr>
            <w:tcMar>
              <w:top w:type="dxa" w:w="100"/>
              <w:left w:type="dxa" w:w="120"/>
              <w:bottom w:type="dxa" w:w="100"/>
              <w:right w:type="dxa" w:w="120"/>
            </w:tcMar>
          </w:tcPr>
          <w:p>
            <w:r>
              <w:rPr>
                <w:b/>
                <w:bCs/>
                <w:sz w:val="20"/>
                <w:szCs w:val="20"/>
              </w:rPr>
              <w:t xml:space="preserve">estimate.approved</w:t>
            </w:r>
          </w:p>
        </w:tc>
        <w:tc>
          <w:tcPr>
            <w:tcMar>
              <w:top w:type="dxa" w:w="100"/>
              <w:left w:type="dxa" w:w="120"/>
              <w:bottom w:type="dxa" w:w="100"/>
              <w:right w:type="dxa" w:w="120"/>
            </w:tcMar>
          </w:tcPr>
          <w:p>
            <w:r>
              <w:rPr>
                <w:b w:val="false"/>
                <w:bCs w:val="false"/>
                <w:sz w:val="20"/>
                <w:szCs w:val="20"/>
              </w:rPr>
              <w:t xml:space="preserve">Estimating</w:t>
            </w:r>
          </w:p>
        </w:tc>
        <w:tc>
          <w:tcPr>
            <w:tcMar>
              <w:top w:type="dxa" w:w="100"/>
              <w:left w:type="dxa" w:w="120"/>
              <w:bottom w:type="dxa" w:w="100"/>
              <w:right w:type="dxa" w:w="120"/>
            </w:tcMar>
          </w:tcPr>
          <w:p>
            <w:r>
              <w:rPr>
                <w:b w:val="false"/>
                <w:bCs w:val="false"/>
                <w:sz w:val="20"/>
                <w:szCs w:val="20"/>
              </w:rPr>
              <w:t xml:space="preserve">Document Generator Layer, Notifications, Change Orders, Activity Feed</w:t>
            </w:r>
          </w:p>
        </w:tc>
      </w:tr>
      <w:tr>
        <w:tc>
          <w:tcPr>
            <w:tcMar>
              <w:top w:type="dxa" w:w="100"/>
              <w:left w:type="dxa" w:w="120"/>
              <w:bottom w:type="dxa" w:w="100"/>
              <w:right w:type="dxa" w:w="120"/>
            </w:tcMar>
          </w:tcPr>
          <w:p>
            <w:r>
              <w:rPr>
                <w:b/>
                <w:bCs/>
                <w:sz w:val="20"/>
                <w:szCs w:val="20"/>
              </w:rPr>
              <w:t xml:space="preserve">change_order.approved</w:t>
            </w:r>
          </w:p>
        </w:tc>
        <w:tc>
          <w:tcPr>
            <w:tcMar>
              <w:top w:type="dxa" w:w="100"/>
              <w:left w:type="dxa" w:w="120"/>
              <w:bottom w:type="dxa" w:w="100"/>
              <w:right w:type="dxa" w:w="120"/>
            </w:tcMar>
          </w:tcPr>
          <w:p>
            <w:r>
              <w:rPr>
                <w:b w:val="false"/>
                <w:bCs w:val="false"/>
                <w:sz w:val="20"/>
                <w:szCs w:val="20"/>
              </w:rPr>
              <w:t xml:space="preserve">Approvals</w:t>
            </w:r>
          </w:p>
        </w:tc>
        <w:tc>
          <w:tcPr>
            <w:tcMar>
              <w:top w:type="dxa" w:w="100"/>
              <w:left w:type="dxa" w:w="120"/>
              <w:bottom w:type="dxa" w:w="100"/>
              <w:right w:type="dxa" w:w="120"/>
            </w:tcMar>
          </w:tcPr>
          <w:p>
            <w:r>
              <w:rPr>
                <w:b w:val="false"/>
                <w:bCs w:val="false"/>
                <w:sz w:val="20"/>
                <w:szCs w:val="20"/>
              </w:rPr>
              <w:t xml:space="preserve">Document Generator Layer, Project Financials, Notifications</w:t>
            </w:r>
          </w:p>
        </w:tc>
      </w:tr>
      <w:tr>
        <w:tc>
          <w:tcPr>
            <w:tcMar>
              <w:top w:type="dxa" w:w="100"/>
              <w:left w:type="dxa" w:w="120"/>
              <w:bottom w:type="dxa" w:w="100"/>
              <w:right w:type="dxa" w:w="120"/>
            </w:tcMar>
          </w:tcPr>
          <w:p>
            <w:r>
              <w:rPr>
                <w:b/>
                <w:bCs/>
                <w:sz w:val="20"/>
                <w:szCs w:val="20"/>
              </w:rPr>
              <w:t xml:space="preserve">material.selected</w:t>
            </w:r>
          </w:p>
        </w:tc>
        <w:tc>
          <w:tcPr>
            <w:tcMar>
              <w:top w:type="dxa" w:w="100"/>
              <w:left w:type="dxa" w:w="120"/>
              <w:bottom w:type="dxa" w:w="100"/>
              <w:right w:type="dxa" w:w="120"/>
            </w:tcMar>
          </w:tcPr>
          <w:p>
            <w:r>
              <w:rPr>
                <w:b w:val="false"/>
                <w:bCs w:val="false"/>
                <w:sz w:val="20"/>
                <w:szCs w:val="20"/>
              </w:rPr>
              <w:t xml:space="preserve">3D Studio / Material Studio</w:t>
            </w:r>
          </w:p>
        </w:tc>
        <w:tc>
          <w:tcPr>
            <w:tcMar>
              <w:top w:type="dxa" w:w="100"/>
              <w:left w:type="dxa" w:w="120"/>
              <w:bottom w:type="dxa" w:w="100"/>
              <w:right w:type="dxa" w:w="120"/>
            </w:tcMar>
          </w:tcPr>
          <w:p>
            <w:r>
              <w:rPr>
                <w:b w:val="false"/>
                <w:bCs w:val="false"/>
                <w:sz w:val="20"/>
                <w:szCs w:val="20"/>
              </w:rPr>
              <w:t xml:space="preserve">Approvals, Pricing, Notifications</w:t>
            </w:r>
          </w:p>
        </w:tc>
      </w:tr>
      <w:tr>
        <w:tc>
          <w:tcPr>
            <w:tcMar>
              <w:top w:type="dxa" w:w="100"/>
              <w:left w:type="dxa" w:w="120"/>
              <w:bottom w:type="dxa" w:w="100"/>
              <w:right w:type="dxa" w:w="120"/>
            </w:tcMar>
          </w:tcPr>
          <w:p>
            <w:r>
              <w:rPr>
                <w:b/>
                <w:bCs/>
                <w:sz w:val="20"/>
                <w:szCs w:val="20"/>
              </w:rPr>
              <w:t xml:space="preserve">blueprint.version_uploaded</w:t>
            </w:r>
          </w:p>
        </w:tc>
        <w:tc>
          <w:tcPr>
            <w:tcMar>
              <w:top w:type="dxa" w:w="100"/>
              <w:left w:type="dxa" w:w="120"/>
              <w:bottom w:type="dxa" w:w="100"/>
              <w:right w:type="dxa" w:w="120"/>
            </w:tcMar>
          </w:tcPr>
          <w:p>
            <w:r>
              <w:rPr>
                <w:b w:val="false"/>
                <w:bCs w:val="false"/>
                <w:sz w:val="20"/>
                <w:szCs w:val="20"/>
              </w:rPr>
              <w:t xml:space="preserve">Blueprint Studio</w:t>
            </w:r>
          </w:p>
        </w:tc>
        <w:tc>
          <w:tcPr>
            <w:tcMar>
              <w:top w:type="dxa" w:w="100"/>
              <w:left w:type="dxa" w:w="120"/>
              <w:bottom w:type="dxa" w:w="100"/>
              <w:right w:type="dxa" w:w="120"/>
            </w:tcMar>
          </w:tcPr>
          <w:p>
            <w:r>
              <w:rPr>
                <w:b w:val="false"/>
                <w:bCs w:val="false"/>
                <w:sz w:val="20"/>
                <w:szCs w:val="20"/>
              </w:rPr>
              <w:t xml:space="preserve">AI Blueprint Reader, Notifications, Activity Feed</w:t>
            </w:r>
          </w:p>
        </w:tc>
      </w:tr>
      <w:tr>
        <w:tc>
          <w:tcPr>
            <w:tcMar>
              <w:top w:type="dxa" w:w="100"/>
              <w:left w:type="dxa" w:w="120"/>
              <w:bottom w:type="dxa" w:w="100"/>
              <w:right w:type="dxa" w:w="120"/>
            </w:tcMar>
          </w:tcPr>
          <w:p>
            <w:r>
              <w:rPr>
                <w:b/>
                <w:bCs/>
                <w:sz w:val="20"/>
                <w:szCs w:val="20"/>
              </w:rPr>
              <w:t xml:space="preserve">phase.completed</w:t>
            </w:r>
          </w:p>
        </w:tc>
        <w:tc>
          <w:tcPr>
            <w:tcMar>
              <w:top w:type="dxa" w:w="100"/>
              <w:left w:type="dxa" w:w="120"/>
              <w:bottom w:type="dxa" w:w="100"/>
              <w:right w:type="dxa" w:w="120"/>
            </w:tcMar>
          </w:tcPr>
          <w:p>
            <w:r>
              <w:rPr>
                <w:b w:val="false"/>
                <w:bCs w:val="false"/>
                <w:sz w:val="20"/>
                <w:szCs w:val="20"/>
              </w:rPr>
              <w:t xml:space="preserve">Progress Tracking</w:t>
            </w:r>
          </w:p>
        </w:tc>
        <w:tc>
          <w:tcPr>
            <w:tcMar>
              <w:top w:type="dxa" w:w="100"/>
              <w:left w:type="dxa" w:w="120"/>
              <w:bottom w:type="dxa" w:w="100"/>
              <w:right w:type="dxa" w:w="120"/>
            </w:tcMar>
          </w:tcPr>
          <w:p>
            <w:r>
              <w:rPr>
                <w:b w:val="false"/>
                <w:bCs w:val="false"/>
                <w:sz w:val="20"/>
                <w:szCs w:val="20"/>
              </w:rPr>
              <w:t xml:space="preserve">Scheduling, Notifications, Client Portal, Reports</w:t>
            </w:r>
          </w:p>
        </w:tc>
      </w:tr>
      <w:tr>
        <w:tc>
          <w:tcPr>
            <w:tcMar>
              <w:top w:type="dxa" w:w="100"/>
              <w:left w:type="dxa" w:w="120"/>
              <w:bottom w:type="dxa" w:w="100"/>
              <w:right w:type="dxa" w:w="120"/>
            </w:tcMar>
          </w:tcPr>
          <w:p>
            <w:r>
              <w:rPr>
                <w:b/>
                <w:bCs/>
                <w:sz w:val="20"/>
                <w:szCs w:val="20"/>
              </w:rPr>
              <w:t xml:space="preserve">document.status_changed</w:t>
            </w:r>
          </w:p>
        </w:tc>
        <w:tc>
          <w:tcPr>
            <w:tcMar>
              <w:top w:type="dxa" w:w="100"/>
              <w:left w:type="dxa" w:w="120"/>
              <w:bottom w:type="dxa" w:w="100"/>
              <w:right w:type="dxa" w:w="120"/>
            </w:tcMar>
          </w:tcPr>
          <w:p>
            <w:r>
              <w:rPr>
                <w:b w:val="false"/>
                <w:bCs w:val="false"/>
                <w:sz w:val="20"/>
                <w:szCs w:val="20"/>
              </w:rPr>
              <w:t xml:space="preserve">Document Generator Layer (inbound webhook)</w:t>
            </w:r>
          </w:p>
        </w:tc>
        <w:tc>
          <w:tcPr>
            <w:tcMar>
              <w:top w:type="dxa" w:w="100"/>
              <w:left w:type="dxa" w:w="120"/>
              <w:bottom w:type="dxa" w:w="100"/>
              <w:right w:type="dxa" w:w="120"/>
            </w:tcMar>
          </w:tcPr>
          <w:p>
            <w:r>
              <w:rPr>
                <w:b w:val="false"/>
                <w:bCs w:val="false"/>
                <w:sz w:val="20"/>
                <w:szCs w:val="20"/>
              </w:rPr>
              <w:t xml:space="preserve">Document Integration UI, Notifications</w:t>
            </w:r>
          </w:p>
        </w:tc>
      </w:tr>
      <w:tr>
        <w:tc>
          <w:tcPr>
            <w:tcMar>
              <w:top w:type="dxa" w:w="100"/>
              <w:left w:type="dxa" w:w="120"/>
              <w:bottom w:type="dxa" w:w="100"/>
              <w:right w:type="dxa" w:w="120"/>
            </w:tcMar>
          </w:tcPr>
          <w:p>
            <w:r>
              <w:rPr>
                <w:b/>
                <w:bCs/>
                <w:sz w:val="20"/>
                <w:szCs w:val="20"/>
              </w:rPr>
              <w:t xml:space="preserve">inspection.scheduled</w:t>
            </w:r>
          </w:p>
        </w:tc>
        <w:tc>
          <w:tcPr>
            <w:tcMar>
              <w:top w:type="dxa" w:w="100"/>
              <w:left w:type="dxa" w:w="120"/>
              <w:bottom w:type="dxa" w:w="100"/>
              <w:right w:type="dxa" w:w="120"/>
            </w:tcMar>
          </w:tcPr>
          <w:p>
            <w:r>
              <w:rPr>
                <w:b w:val="false"/>
                <w:bCs w:val="false"/>
                <w:sz w:val="20"/>
                <w:szCs w:val="20"/>
              </w:rPr>
              <w:t xml:space="preserve">Scheduling</w:t>
            </w:r>
          </w:p>
        </w:tc>
        <w:tc>
          <w:tcPr>
            <w:tcMar>
              <w:top w:type="dxa" w:w="100"/>
              <w:left w:type="dxa" w:w="120"/>
              <w:bottom w:type="dxa" w:w="100"/>
              <w:right w:type="dxa" w:w="120"/>
            </w:tcMar>
          </w:tcPr>
          <w:p>
            <w:r>
              <w:rPr>
                <w:b w:val="false"/>
                <w:bCs w:val="false"/>
                <w:sz w:val="20"/>
                <w:szCs w:val="20"/>
              </w:rPr>
              <w:t xml:space="preserve">Notifications, Superintendent/Inspector dashboards</w:t>
            </w:r>
          </w:p>
        </w:tc>
      </w:tr>
      <w:tr>
        <w:tc>
          <w:tcPr>
            <w:tcMar>
              <w:top w:type="dxa" w:w="100"/>
              <w:left w:type="dxa" w:w="120"/>
              <w:bottom w:type="dxa" w:w="100"/>
              <w:right w:type="dxa" w:w="120"/>
            </w:tcMar>
          </w:tcPr>
          <w:p>
            <w:r>
              <w:rPr>
                <w:b/>
                <w:bCs/>
                <w:sz w:val="20"/>
                <w:szCs w:val="20"/>
              </w:rPr>
              <w:t xml:space="preserve">rfi.submitted</w:t>
            </w:r>
          </w:p>
        </w:tc>
        <w:tc>
          <w:tcPr>
            <w:tcMar>
              <w:top w:type="dxa" w:w="100"/>
              <w:left w:type="dxa" w:w="120"/>
              <w:bottom w:type="dxa" w:w="100"/>
              <w:right w:type="dxa" w:w="120"/>
            </w:tcMar>
          </w:tcPr>
          <w:p>
            <w:r>
              <w:rPr>
                <w:b w:val="false"/>
                <w:bCs w:val="false"/>
                <w:sz w:val="20"/>
                <w:szCs w:val="20"/>
              </w:rPr>
              <w:t xml:space="preserve">Construction / Portals</w:t>
            </w:r>
          </w:p>
        </w:tc>
        <w:tc>
          <w:tcPr>
            <w:tcMar>
              <w:top w:type="dxa" w:w="100"/>
              <w:left w:type="dxa" w:w="120"/>
              <w:bottom w:type="dxa" w:w="100"/>
              <w:right w:type="dxa" w:w="120"/>
            </w:tcMar>
          </w:tcPr>
          <w:p>
            <w:r>
              <w:rPr>
                <w:b w:val="false"/>
                <w:bCs w:val="false"/>
                <w:sz w:val="20"/>
                <w:szCs w:val="20"/>
              </w:rPr>
              <w:t xml:space="preserve">Notifications, Activity Feed, AI Assistant context</w:t>
            </w:r>
          </w:p>
        </w:tc>
      </w:tr>
    </w:tbl>
    <w:p>
      <w:pPr>
        <w:pStyle w:val="Heading2"/>
        <w:spacing w:after="180" w:before="360"/>
      </w:pPr>
      <w:r>
        <w:rPr>
          <w:color w:val="0E5AA7"/>
        </w:rPr>
        <w:t xml:space="preserve">3.4 Rules for Event Design</w:t>
      </w:r>
    </w:p>
    <w:p>
      <w:pPr>
        <w:pStyle w:val="ListParagraph"/>
        <w:numPr>
          <w:ilvl w:val="0"/>
          <w:numId w:val="2"/>
        </w:numPr>
        <w:spacing w:after="60"/>
      </w:pPr>
      <w:r>
        <w:t xml:space="preserve">Events describe something that already happened (past tense: approved, completed, uploaded), never a command — commands are synchronous calls, not events.</w:t>
      </w:r>
    </w:p>
    <w:p>
      <w:pPr>
        <w:pStyle w:val="ListParagraph"/>
        <w:numPr>
          <w:ilvl w:val="0"/>
          <w:numId w:val="2"/>
        </w:numPr>
        <w:spacing w:after="60"/>
      </w:pPr>
      <w:r>
        <w:t xml:space="preserve">Event payloads are minimal (IDs and the fields a subscriber plausibly needs) — subscribers fetch full detail via the normal RLS-protected query layer, never trusting event payload as an authorization bypass.</w:t>
      </w:r>
    </w:p>
    <w:p>
      <w:pPr>
        <w:pStyle w:val="ListParagraph"/>
        <w:numPr>
          <w:ilvl w:val="0"/>
          <w:numId w:val="2"/>
        </w:numPr>
        <w:spacing w:after="60"/>
      </w:pPr>
      <w:r>
        <w:t xml:space="preserve">A module never subscribes to another module's internal implementation details, only to its published event types — this is the mechanism that keeps modules decoupled enough to change independently.</w:t>
      </w:r>
    </w:p>
    <w:p>
      <w:pPr>
        <w:pStyle w:val="Heading1"/>
        <w:spacing w:after="240" w:before="480"/>
      </w:pPr>
      <w:r>
        <w:rPr>
          <w:color w:val="071B2E"/>
        </w:rPr>
        <w:t xml:space="preserve">Chapter 4 — Notification Architecture</w:t>
      </w:r>
    </w:p>
    <w:p>
      <w:pPr>
        <w:spacing w:after="160"/>
      </w:pPr>
      <w:r>
        <w:t xml:space="preserve">Notifications are a GOS Core service (Chapter 2.1), not owned by Build &amp; Design. Any event in Chapter 3.3 can have a notification rule attached (who gets notified, in what language, via which channel), configured centrally rather than hard-coded per module:</w:t>
      </w:r>
    </w:p>
    <w:p>
      <w:pPr>
        <w:pStyle w:val="ListParagraph"/>
        <w:numPr>
          <w:ilvl w:val="0"/>
          <w:numId w:val="2"/>
        </w:numPr>
        <w:spacing w:after="60"/>
      </w:pPr>
      <w:r>
        <w:t xml:space="preserve">Event occurs → written to the events table.</w:t>
      </w:r>
    </w:p>
    <w:p>
      <w:pPr>
        <w:pStyle w:val="ListParagraph"/>
        <w:numPr>
          <w:ilvl w:val="0"/>
          <w:numId w:val="2"/>
        </w:numPr>
        <w:spacing w:after="60"/>
      </w:pPr>
      <w:r>
        <w:t xml:space="preserve">Notification rules engine (GOS Core) matches the event_type against configured recipients (role-based, project-membership-based, or explicit user).</w:t>
      </w:r>
    </w:p>
    <w:p>
      <w:pPr>
        <w:pStyle w:val="ListParagraph"/>
        <w:numPr>
          <w:ilvl w:val="0"/>
          <w:numId w:val="2"/>
        </w:numPr>
        <w:spacing w:after="60"/>
      </w:pPr>
      <w:r>
        <w:t xml:space="preserve">A notification record is created per recipient, translated to their preferred_language (PRD Vol. I, Ch. 7), and delivered via Supabase Realtime (in-app) and/or email per user preference.</w:t>
      </w:r>
    </w:p>
    <w:p>
      <w:pPr>
        <w:pStyle w:val="ListParagraph"/>
        <w:numPr>
          <w:ilvl w:val="0"/>
          <w:numId w:val="2"/>
        </w:numPr>
        <w:spacing w:after="60"/>
      </w:pPr>
      <w:r>
        <w:t xml:space="preserve">The Client Portal, internal dashboards, and mobile apps all read from the same notifications table — there is no separate mobile-only or portal-only notification path.</w:t>
      </w:r>
    </w:p>
    <w:p>
      <w:pPr>
        <w:pStyle w:val="Heading1"/>
        <w:spacing w:after="240" w:before="480"/>
      </w:pPr>
      <w:r>
        <w:rPr>
          <w:color w:val="071B2E"/>
        </w:rPr>
        <w:t xml:space="preserve">Chapter 5 — AI Services Communication</w:t>
      </w:r>
    </w:p>
    <w:p>
      <w:pPr>
        <w:spacing w:after="160"/>
      </w:pPr>
      <w:r>
        <w:t xml:space="preserve">AI Services (Chapter 2.5) is called, never calls — it has no ability to initiate a write against project data. This keeps the human-approval principle from PRD Volume VII, Chapter 1 architecturally enforced, not just policy-enforced.</w:t>
      </w:r>
    </w:p>
    <w:p>
      <w:pPr>
        <w:pStyle w:val="Heading2"/>
        <w:spacing w:after="180" w:before="360"/>
      </w:pPr>
      <w:r>
        <w:rPr>
          <w:color w:val="0E5AA7"/>
        </w:rPr>
        <w:t xml:space="preserve">5.1 AI Estimator ↔ Estimating Engine</w:t>
      </w:r>
    </w:p>
    <w:p>
      <w:pPr>
        <w:pStyle w:val="ListParagraph"/>
        <w:numPr>
          <w:ilvl w:val="0"/>
          <w:numId w:val="2"/>
        </w:numPr>
        <w:spacing w:after="60"/>
      </w:pPr>
      <w:r>
        <w:t xml:space="preserve">Estimating sends a request to the AI Gateway (project type, inputs — voice transcript, photo, blueprint data) and receives back candidate line items with confidence scores.</w:t>
      </w:r>
    </w:p>
    <w:p>
      <w:pPr>
        <w:pStyle w:val="ListParagraph"/>
        <w:numPr>
          <w:ilvl w:val="0"/>
          <w:numId w:val="2"/>
        </w:numPr>
        <w:spacing w:after="60"/>
      </w:pPr>
      <w:r>
        <w:t xml:space="preserve">The AI Gateway never writes directly to estimate_line_items — it returns a proposal object that the Estimating module's normal create/update path handles, so the exact same validation and RLS checks apply to AI-suggested and human-typed line items alike.</w:t>
      </w:r>
    </w:p>
    <w:p>
      <w:pPr>
        <w:pStyle w:val="ListParagraph"/>
        <w:numPr>
          <w:ilvl w:val="0"/>
          <w:numId w:val="2"/>
        </w:numPr>
        <w:spacing w:after="60"/>
      </w:pPr>
      <w:r>
        <w:t xml:space="preserve">This is the general pattern for every AI capability: AI Gateway in, proposal object out, existing module write-path handles persistence.</w:t>
      </w:r>
    </w:p>
    <w:p>
      <w:pPr>
        <w:pStyle w:val="Heading2"/>
        <w:spacing w:after="180" w:before="360"/>
      </w:pPr>
      <w:r>
        <w:rPr>
          <w:color w:val="0E5AA7"/>
        </w:rPr>
        <w:t xml:space="preserve">5.2 AI Blueprint Reader</w:t>
      </w:r>
    </w:p>
    <w:p>
      <w:pPr>
        <w:spacing w:after="160"/>
      </w:pPr>
      <w:r>
        <w:t xml:space="preserve">Subscribes to blueprint.version_uploaded (Chapter 3.3), pulls the file via the normal signed-URL path (no special access), and posts recognition results back to the AI Gateway's proposal endpoint for Blueprint Studio to store as structured, editable data alongside — never overwriting — the source file.</w:t>
      </w:r>
    </w:p>
    <w:p>
      <w:pPr>
        <w:pStyle w:val="Heading2"/>
        <w:spacing w:after="180" w:before="360"/>
      </w:pPr>
      <w:r>
        <w:rPr>
          <w:color w:val="0E5AA7"/>
        </w:rPr>
        <w:t xml:space="preserve">5.3 AI Assistant</w:t>
      </w:r>
    </w:p>
    <w:p>
      <w:pPr>
        <w:spacing w:after="160"/>
      </w:pPr>
      <w:r>
        <w:t xml:space="preserve">Queries data through the same RLS-protected layer every other client uses (PRD Vol. VII, Ch. 4) — the AI Gateway does not carry an elevated service role when acting on behalf of a specific user's question. Portfolio-wide AI Analytics (PRD Vol. VII, Ch. 7), by contrast, runs under a scoped service role limited to the reporting views in Engineering Standards Ch. 6.4, never raw table access.</w:t>
      </w:r>
    </w:p>
    <w:p>
      <w:pPr>
        <w:pStyle w:val="Heading1"/>
        <w:spacing w:after="240" w:before="480"/>
      </w:pPr>
      <w:r>
        <w:rPr>
          <w:color w:val="071B2E"/>
        </w:rPr>
        <w:t xml:space="preserve">Chapter 6 — Document Generator Communication Contract</w:t>
      </w:r>
    </w:p>
    <w:p>
      <w:pPr>
        <w:spacing w:after="160"/>
      </w:pPr>
      <w:r>
        <w:t xml:space="preserve">Restated precisely because it is the ecosystem's most important boundary: the Document Generator is stateless with respect to construction concepts. The full contract: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3400"/>
      </w:tblGrid>
      <w:tr>
        <w:trPr>
          <w:tblHeader/>
        </w:trPr>
        <w:tc>
          <w:tcPr>
            <w:shd w:fill="071B2E" w:val="clear"/>
            <w:tcMar>
              <w:top w:type="dxa" w:w="100"/>
              <w:left w:type="dxa" w:w="120"/>
              <w:bottom w:type="dxa" w:w="100"/>
              <w:right w:type="dxa" w:w="120"/>
            </w:tcMar>
          </w:tcPr>
          <w:p>
            <w:r>
              <w:rPr>
                <w:b/>
                <w:bCs/>
                <w:color w:val="FFFFFF"/>
                <w:sz w:val="20"/>
                <w:szCs w:val="20"/>
              </w:rPr>
              <w:t xml:space="preserve">Direction</w:t>
            </w:r>
          </w:p>
        </w:tc>
        <w:tc>
          <w:tcPr>
            <w:shd w:fill="071B2E" w:val="clear"/>
            <w:tcMar>
              <w:top w:type="dxa" w:w="100"/>
              <w:left w:type="dxa" w:w="120"/>
              <w:bottom w:type="dxa" w:w="100"/>
              <w:right w:type="dxa" w:w="120"/>
            </w:tcMar>
          </w:tcPr>
          <w:p>
            <w:r>
              <w:rPr>
                <w:b/>
                <w:bCs/>
                <w:color w:val="FFFFFF"/>
                <w:sz w:val="20"/>
                <w:szCs w:val="20"/>
              </w:rPr>
              <w:t xml:space="preserve">Payload</w:t>
            </w:r>
          </w:p>
        </w:tc>
        <w:tc>
          <w:tcPr>
            <w:shd w:fill="071B2E" w:val="clear"/>
            <w:tcMar>
              <w:top w:type="dxa" w:w="100"/>
              <w:left w:type="dxa" w:w="120"/>
              <w:bottom w:type="dxa" w:w="100"/>
              <w:right w:type="dxa" w:w="120"/>
            </w:tcMar>
          </w:tcPr>
          <w:p>
            <w:r>
              <w:rPr>
                <w:b/>
                <w:bCs/>
                <w:color w:val="FFFFFF"/>
                <w:sz w:val="20"/>
                <w:szCs w:val="20"/>
              </w:rPr>
              <w:t xml:space="preserve">Response</w:t>
            </w:r>
          </w:p>
        </w:tc>
      </w:tr>
      <w:tr>
        <w:tc>
          <w:tcPr>
            <w:tcMar>
              <w:top w:type="dxa" w:w="100"/>
              <w:left w:type="dxa" w:w="120"/>
              <w:bottom w:type="dxa" w:w="100"/>
              <w:right w:type="dxa" w:w="120"/>
            </w:tcMar>
          </w:tcPr>
          <w:p>
            <w:r>
              <w:rPr>
                <w:b/>
                <w:bCs/>
                <w:sz w:val="20"/>
                <w:szCs w:val="20"/>
              </w:rPr>
              <w:t xml:space="preserve">Build &amp; Design → Document Generator</w:t>
            </w:r>
          </w:p>
        </w:tc>
        <w:tc>
          <w:tcPr>
            <w:tcMar>
              <w:top w:type="dxa" w:w="100"/>
              <w:left w:type="dxa" w:w="120"/>
              <w:bottom w:type="dxa" w:w="100"/>
              <w:right w:type="dxa" w:w="120"/>
            </w:tcMar>
          </w:tcPr>
          <w:p>
            <w:r>
              <w:rPr>
                <w:b w:val="false"/>
                <w:bCs w:val="false"/>
                <w:sz w:val="20"/>
                <w:szCs w:val="20"/>
              </w:rPr>
              <w:t xml:space="preserve">document type + structured data (line items, parties, amounts, dates) + idempotency key + webhook callback URL</w:t>
            </w:r>
          </w:p>
        </w:tc>
        <w:tc>
          <w:tcPr>
            <w:tcMar>
              <w:top w:type="dxa" w:w="100"/>
              <w:left w:type="dxa" w:w="120"/>
              <w:bottom w:type="dxa" w:w="100"/>
              <w:right w:type="dxa" w:w="120"/>
            </w:tcMar>
          </w:tcPr>
          <w:p>
            <w:r>
              <w:rPr>
                <w:b w:val="false"/>
                <w:bCs w:val="false"/>
                <w:sz w:val="20"/>
                <w:szCs w:val="20"/>
              </w:rPr>
              <w:t xml:space="preserve">Immediate: request accepted, document_request id</w:t>
            </w:r>
          </w:p>
        </w:tc>
      </w:tr>
      <w:tr>
        <w:tc>
          <w:tcPr>
            <w:tcMar>
              <w:top w:type="dxa" w:w="100"/>
              <w:left w:type="dxa" w:w="120"/>
              <w:bottom w:type="dxa" w:w="100"/>
              <w:right w:type="dxa" w:w="120"/>
            </w:tcMar>
          </w:tcPr>
          <w:p>
            <w:r>
              <w:rPr>
                <w:b/>
                <w:bCs/>
                <w:sz w:val="20"/>
                <w:szCs w:val="20"/>
              </w:rPr>
              <w:t xml:space="preserve">Document Generator → Build &amp; Design (webhook)</w:t>
            </w:r>
          </w:p>
        </w:tc>
        <w:tc>
          <w:tcPr>
            <w:tcMar>
              <w:top w:type="dxa" w:w="100"/>
              <w:left w:type="dxa" w:w="120"/>
              <w:bottom w:type="dxa" w:w="100"/>
              <w:right w:type="dxa" w:w="120"/>
            </w:tcMar>
          </w:tcPr>
          <w:p>
            <w:r>
              <w:rPr>
                <w:b w:val="false"/>
                <w:bCs w:val="false"/>
                <w:sz w:val="20"/>
                <w:szCs w:val="20"/>
              </w:rPr>
              <w:t xml:space="preserve">document_request id + status (generated/failed) + document reference/link + signature URL where applicable</w:t>
            </w:r>
          </w:p>
        </w:tc>
        <w:tc>
          <w:tcPr>
            <w:tcMar>
              <w:top w:type="dxa" w:w="100"/>
              <w:left w:type="dxa" w:w="120"/>
              <w:bottom w:type="dxa" w:w="100"/>
              <w:right w:type="dxa" w:w="120"/>
            </w:tcMar>
          </w:tcPr>
          <w:p>
            <w:r>
              <w:rPr>
                <w:b w:val="false"/>
                <w:bCs w:val="false"/>
                <w:sz w:val="20"/>
                <w:szCs w:val="20"/>
              </w:rPr>
              <w:t xml:space="preserve">Build &amp; Design stores in document_status, fires document.status_changed event (Chapter 3.3)</w:t>
            </w:r>
          </w:p>
        </w:tc>
      </w:tr>
    </w:tbl>
    <w:tbl>
      <w:tblPr>
        <w:tblW w:type="pct" w:w="100%"/>
        <w:tblBorders>
          <w:top w:val="single" w:color="0E5AA7" w:sz="4"/>
          <w:left w:val="single" w:color="0E5AA7" w:sz="4"/>
          <w:bottom w:val="single" w:color="0E5AA7" w:sz="4"/>
          <w:right w:val="single" w:color="0E5AA7" w:sz="4"/>
          <w:insideH w:val="single" w:color="auto" w:sz="4"/>
          <w:insideV w:val="single" w:color="auto" w:sz="4"/>
        </w:tblBorders>
      </w:tblPr>
      <w:tblGrid>
        <w:gridCol w:w="100"/>
      </w:tblGrid>
      <w:tr>
        <w:tc>
          <w:tcPr>
            <w:shd w:fill="EAF1F8" w:val="clear"/>
            <w:tcMar>
              <w:top w:type="dxa" w:w="160"/>
              <w:left w:type="dxa" w:w="200"/>
              <w:bottom w:type="dxa" w:w="160"/>
              <w:right w:type="dxa" w:w="200"/>
            </w:tcMar>
          </w:tcPr>
          <w:p>
            <w:r>
              <w:rPr>
                <w:i/>
                <w:iCs/>
                <w:color w:val="071B2E"/>
              </w:rPr>
              <w:t xml:space="preserve">The Document Generator must never be given a project ID and asked to "figure out" what to generate. Build &amp; Design always sends the complete, already-assembled structured payload — the Document Generator's only job is rendering it into Estimate / Proposal / Contract / Subcontract / Purchase Order / Change Order / Invoice / Receipt / Material Approval / Completion Certificate / Warranty.</w:t>
            </w:r>
          </w:p>
        </w:tc>
      </w:tr>
    </w:tbl>
    <w:p>
      <w:pPr>
        <w:pStyle w:val="Heading1"/>
        <w:spacing w:after="240" w:before="480"/>
      </w:pPr>
      <w:r>
        <w:rPr>
          <w:color w:val="071B2E"/>
        </w:rPr>
        <w:t xml:space="preserve">Chapter 7 — 3D Viewer ↔ Material Studio Communication</w:t>
      </w:r>
    </w:p>
    <w:p>
      <w:pPr>
        <w:spacing w:after="160"/>
      </w:pPr>
      <w:r>
        <w:t xml:space="preserve">Both are Build &amp; Design modules (PRD Vol. VIII), communicating synchronously within the same client session rather than through the event system, since the interaction is real-time and single-user:</w:t>
      </w:r>
    </w:p>
    <w:p>
      <w:pPr>
        <w:pStyle w:val="ListParagraph"/>
        <w:numPr>
          <w:ilvl w:val="0"/>
          <w:numId w:val="2"/>
        </w:numPr>
        <w:spacing w:after="60"/>
      </w:pPr>
      <w:r>
        <w:t xml:space="preserve">The 3D Viewer requests the material_options bound to the currently selected mesh group (PRD Vol. VIII, Ch. 2.3) via a typed query, not a generic catalog fetch — this keeps the viewer from ever offering a material that isn't valid for the selected surface.</w:t>
      </w:r>
    </w:p>
    <w:p>
      <w:pPr>
        <w:pStyle w:val="ListParagraph"/>
        <w:numPr>
          <w:ilvl w:val="0"/>
          <w:numId w:val="2"/>
        </w:numPr>
        <w:spacing w:after="60"/>
      </w:pPr>
      <w:r>
        <w:t xml:space="preserve">Selecting a material calls a synchronous update against a client-local draft state (not yet persisted) so the viewer can render instantly; the draft is written to material_selections only on explicit save/submit, per PRD Vol. VIII, Ch. 5.</w:t>
      </w:r>
    </w:p>
    <w:p>
      <w:pPr>
        <w:pStyle w:val="ListParagraph"/>
        <w:numPr>
          <w:ilvl w:val="0"/>
          <w:numId w:val="2"/>
        </w:numPr>
        <w:spacing w:after="60"/>
      </w:pPr>
      <w:r>
        <w:t xml:space="preserve">On submit, Material Studio publishes material.selected (Chapter 3.3), which Approvals and Pricing subscribe to — this is where the interaction switches from synchronous (viewer feels instant) to asynchronous (approval workflow, which is not instant by nature).</w:t>
      </w:r>
    </w:p>
    <w:p>
      <w:pPr>
        <w:pStyle w:val="Heading1"/>
        <w:spacing w:after="240" w:before="480"/>
      </w:pPr>
      <w:r>
        <w:rPr>
          <w:color w:val="071B2E"/>
        </w:rPr>
        <w:t xml:space="preserve">Chapter 8 — Permission Inheritance</w:t>
      </w:r>
    </w:p>
    <w:p>
      <w:pPr>
        <w:spacing w:after="160"/>
      </w:pPr>
      <w:r>
        <w:t xml:space="preserve">Extends PRD Volume V's role and RLS model with the inheritance chain that determines a user's effective permission at request time:</w:t>
      </w:r>
    </w:p>
    <w:p>
      <w:pPr>
        <w:pStyle w:val="ListParagraph"/>
        <w:numPr>
          <w:ilvl w:val="0"/>
          <w:numId w:val="2"/>
        </w:numPr>
        <w:spacing w:after="60"/>
      </w:pPr>
      <w:r>
        <w:t xml:space="preserve">Organization membership (GOS Core) — establishes which organization a user belongs to (internal Gottlieb staff, a specific vendor firm, a specific subcontractor firm, a specific client).</w:t>
      </w:r>
    </w:p>
    <w:p>
      <w:pPr>
        <w:pStyle w:val="ListParagraph"/>
        <w:numPr>
          <w:ilvl w:val="0"/>
          <w:numId w:val="2"/>
        </w:numPr>
        <w:spacing w:after="60"/>
      </w:pPr>
      <w:r>
        <w:t xml:space="preserve">Global role (GOS Core) — the user's baseline capability, assigned once.</w:t>
      </w:r>
    </w:p>
    <w:p>
      <w:pPr>
        <w:pStyle w:val="ListParagraph"/>
        <w:numPr>
          <w:ilvl w:val="0"/>
          <w:numId w:val="2"/>
        </w:numPr>
        <w:spacing w:after="60"/>
      </w:pPr>
      <w:r>
        <w:t xml:space="preserve">Project membership (Build &amp; Design) — user_project_roles determines which specific projects a user can touch at all.</w:t>
      </w:r>
    </w:p>
    <w:p>
      <w:pPr>
        <w:pStyle w:val="ListParagraph"/>
        <w:numPr>
          <w:ilvl w:val="0"/>
          <w:numId w:val="2"/>
        </w:numPr>
        <w:spacing w:after="60"/>
      </w:pPr>
      <w:r>
        <w:t xml:space="preserve">Project-level role override (Build &amp; Design) — may elevate or restrict the global role for that one project.</w:t>
      </w:r>
    </w:p>
    <w:p>
      <w:pPr>
        <w:pStyle w:val="ListParagraph"/>
        <w:numPr>
          <w:ilvl w:val="0"/>
          <w:numId w:val="2"/>
        </w:numPr>
        <w:spacing w:after="60"/>
      </w:pPr>
      <w:r>
        <w:t xml:space="preserve">Organization-scoped row ownership (Build &amp; Design) — for portal tables (Chapter 6, PRD Vol. V, Ch. 6), narrows visibility further to rows the user's specific organization submitted, even within a project they're a legitimate member of.</w:t>
      </w:r>
    </w:p>
    <w:p>
      <w:pPr>
        <w:spacing w:after="160"/>
      </w:pPr>
      <w:r>
        <w:t xml:space="preserve">Effective permission is the narrowest result of walking this chain — never the broadest. A user with an elevated global role but no project membership still sees nothing on that project, with Super Administrator as the sole documented exception (PRD Vol. V, Ch. 3).</w:t>
      </w:r>
    </w:p>
    <w:p>
      <w:pPr>
        <w:pStyle w:val="Heading1"/>
        <w:spacing w:after="240" w:before="480"/>
      </w:pPr>
      <w:r>
        <w:rPr>
          <w:color w:val="071B2E"/>
        </w:rPr>
        <w:t xml:space="preserve">Chapter 9 — Mobile &amp; Multi-Client Backend Strategy</w:t>
      </w:r>
    </w:p>
    <w:p>
      <w:pPr>
        <w:spacing w:after="160"/>
      </w:pPr>
      <w:r>
        <w:t xml:space="preserve">Mobile apps, the web app, and any future GOS application are all clients of the same GOS Core + Build &amp; Design API surface (PRD Vol. IX) — there is no mobile-specific backend or mobile-specific data model. This is what makes PRD Volume X's Phase 4 mobile evaluation low-risk: a native or PWA mobile client is a new frontend against an already-complete API, not a parallel system requiring its own permission model, event system, or Document Generator integration.</w:t>
      </w:r>
    </w:p>
    <w:p>
      <w:pPr>
        <w:pStyle w:val="ListParagraph"/>
        <w:numPr>
          <w:ilvl w:val="0"/>
          <w:numId w:val="2"/>
        </w:numPr>
        <w:spacing w:after="60"/>
      </w:pPr>
      <w:r>
        <w:t xml:space="preserve">Authentication: same Supabase Auth session mechanism, with mobile-appropriate token refresh handling.</w:t>
      </w:r>
    </w:p>
    <w:p>
      <w:pPr>
        <w:pStyle w:val="ListParagraph"/>
        <w:numPr>
          <w:ilvl w:val="0"/>
          <w:numId w:val="2"/>
        </w:numPr>
        <w:spacing w:after="60"/>
      </w:pPr>
      <w:r>
        <w:t xml:space="preserve">Realtime: mobile subscribes to the same Realtime channels as web (Chapter 4), so notifications and live progress updates are identical in substance across devices.</w:t>
      </w:r>
    </w:p>
    <w:p>
      <w:pPr>
        <w:pStyle w:val="ListParagraph"/>
        <w:numPr>
          <w:ilvl w:val="0"/>
          <w:numId w:val="2"/>
        </w:numPr>
        <w:spacing w:after="60"/>
      </w:pPr>
      <w:r>
        <w:t xml:space="preserve">Offline/poor-connectivity handling (job-site reality): uploads (Chapter 14 of the Design Bible) queue locally and resume — this is a client-side resilience concern, not a different backend contract.</w:t>
      </w:r>
    </w:p>
    <w:p>
      <w:pPr>
        <w:pStyle w:val="Heading1"/>
        <w:spacing w:after="240" w:before="480"/>
      </w:pPr>
      <w:r>
        <w:rPr>
          <w:color w:val="071B2E"/>
        </w:rPr>
        <w:t xml:space="preserve">Chapter 10 — Plugging In Future Modules</w:t>
      </w:r>
    </w:p>
    <w:p>
      <w:pPr>
        <w:spacing w:after="160"/>
      </w:pPr>
      <w:r>
        <w:t xml:space="preserve">A new module — whether a new Build &amp; Design capability or an entirely new GOS application — follows a fixed checklist before any code is written:</w:t>
      </w:r>
    </w:p>
    <w:p>
      <w:pPr>
        <w:pStyle w:val="ListParagraph"/>
        <w:numPr>
          <w:ilvl w:val="0"/>
          <w:numId w:val="2"/>
        </w:numPr>
        <w:spacing w:after="60"/>
      </w:pPr>
      <w:r>
        <w:t xml:space="preserve">Which of the five core systems (Chapter 2) does it belong to? If it doesn't cleanly fit one, resolve that first.</w:t>
      </w:r>
    </w:p>
    <w:p>
      <w:pPr>
        <w:pStyle w:val="ListParagraph"/>
        <w:numPr>
          <w:ilvl w:val="0"/>
          <w:numId w:val="2"/>
        </w:numPr>
        <w:spacing w:after="60"/>
      </w:pPr>
      <w:r>
        <w:t xml:space="preserve">What does it consume from GOS Core, and does it introduce any new shared-service need that belongs in GOS Core rather than being duplicated locally?</w:t>
      </w:r>
    </w:p>
    <w:p>
      <w:pPr>
        <w:pStyle w:val="ListParagraph"/>
        <w:numPr>
          <w:ilvl w:val="0"/>
          <w:numId w:val="2"/>
        </w:numPr>
        <w:spacing w:after="60"/>
      </w:pPr>
      <w:r>
        <w:t xml:space="preserve">What events does it publish, and what existing events does it need to subscribe to (Chapter 3)?</w:t>
      </w:r>
    </w:p>
    <w:p>
      <w:pPr>
        <w:pStyle w:val="ListParagraph"/>
        <w:numPr>
          <w:ilvl w:val="0"/>
          <w:numId w:val="2"/>
        </w:numPr>
        <w:spacing w:after="60"/>
      </w:pPr>
      <w:r>
        <w:t xml:space="preserve">Does it need a new RLS pattern, or does it fit the three existing patterns (PRD Vol. V, Ch. 4 / Engineering Standards Ch. 6.5)? A new pattern requires explicit sign-off, not silent introduction.</w:t>
      </w:r>
    </w:p>
    <w:p>
      <w:pPr>
        <w:pStyle w:val="ListParagraph"/>
        <w:numPr>
          <w:ilvl w:val="0"/>
          <w:numId w:val="2"/>
        </w:numPr>
        <w:spacing w:after="60"/>
      </w:pPr>
      <w:r>
        <w:t xml:space="preserve">Does it touch the Document Generator? If so, what new document type(s) does it require, following the Chapter 6 contract exactly?</w:t>
      </w:r>
    </w:p>
    <w:p>
      <w:pPr>
        <w:pStyle w:val="ListParagraph"/>
        <w:numPr>
          <w:ilvl w:val="0"/>
          <w:numId w:val="2"/>
        </w:numPr>
        <w:spacing w:after="60"/>
      </w:pPr>
      <w:r>
        <w:t xml:space="preserve">Does it need an AI capability? If so, it's called through the AI Gateway (Chapter 5), never a bespoke direct integration to a model provider.</w:t>
      </w:r>
    </w:p>
    <w:tbl>
      <w:tblPr>
        <w:tblW w:type="pct" w:w="100%"/>
        <w:tblBorders>
          <w:top w:val="single" w:color="0E5AA7" w:sz="4"/>
          <w:left w:val="single" w:color="0E5AA7" w:sz="4"/>
          <w:bottom w:val="single" w:color="0E5AA7" w:sz="4"/>
          <w:right w:val="single" w:color="0E5AA7" w:sz="4"/>
          <w:insideH w:val="single" w:color="auto" w:sz="4"/>
          <w:insideV w:val="single" w:color="auto" w:sz="4"/>
        </w:tblBorders>
      </w:tblPr>
      <w:tblGrid>
        <w:gridCol w:w="100"/>
      </w:tblGrid>
      <w:tr>
        <w:tc>
          <w:tcPr>
            <w:shd w:fill="EAF1F8" w:val="clear"/>
            <w:tcMar>
              <w:top w:type="dxa" w:w="160"/>
              <w:left w:type="dxa" w:w="200"/>
              <w:bottom w:type="dxa" w:w="160"/>
              <w:right w:type="dxa" w:w="200"/>
            </w:tcMar>
          </w:tcPr>
          <w:p>
            <w:r>
              <w:rPr>
                <w:i/>
                <w:iCs/>
                <w:color w:val="071B2E"/>
              </w:rPr>
              <w:t xml:space="preserve">This checklist is what keeps the platform a system of five coherent parts instead of an accumulating pile of one-off integrations as the module count grows from 19 (PRD Vol. VI) toward whatever comes after Phase 5.</w:t>
            </w:r>
          </w:p>
        </w:tc>
      </w:tr>
    </w:tbl>
    <w:p>
      <w:pPr>
        <w:pStyle w:val="Heading1"/>
        <w:spacing w:after="240" w:before="480"/>
      </w:pPr>
      <w:r>
        <w:rPr>
          <w:color w:val="071B2E"/>
        </w:rPr>
        <w:t xml:space="preserve">Chapter 11 — The Dashboard as a Living System</w:t>
      </w:r>
    </w:p>
    <w:p>
      <w:pPr>
        <w:spacing w:after="160"/>
      </w:pPr>
      <w:r>
        <w:t xml:space="preserve">This chapter records a specific product direction: the primary internal dashboard should feel like a luxury executive control center, not a static contractor dashboard. Concretely, this means the dashboard is built from live, aggregated data pulled across the event system and reporting views (Chapter 3, PRD Vol. VI Ch. 16) rather than a fixed layout of placeholder widgets:</w:t>
      </w:r>
    </w:p>
    <w:p>
      <w:pPr>
        <w:pStyle w:val="ListParagraph"/>
        <w:numPr>
          <w:ilvl w:val="0"/>
          <w:numId w:val="2"/>
        </w:numPr>
        <w:spacing w:after="60"/>
      </w:pPr>
      <w:r>
        <w:t xml:space="preserve">A personalized greeting plus a small set of portfolio-level headline numbers (active project count, dollar value under development, dollar value pending funding, pending approvals, upcoming inspections) — each backed by a real aggregation query, not a hardcoded card.</w:t>
      </w:r>
    </w:p>
    <w:p>
      <w:pPr>
        <w:pStyle w:val="ListParagraph"/>
        <w:numPr>
          <w:ilvl w:val="0"/>
          <w:numId w:val="2"/>
        </w:numPr>
        <w:spacing w:after="60"/>
      </w:pPr>
      <w:r>
        <w:t xml:space="preserve">A featured-project visual moment (an aerial or hero image of a flagship active project), rotated per configured priority.</w:t>
      </w:r>
    </w:p>
    <w:p>
      <w:pPr>
        <w:pStyle w:val="ListParagraph"/>
        <w:numPr>
          <w:ilvl w:val="0"/>
          <w:numId w:val="2"/>
        </w:numPr>
        <w:spacing w:after="60"/>
      </w:pPr>
      <w:r>
        <w:t xml:space="preserve">Below the fold: today's priorities, funding updates, construction progress, AI recommendations (via the AI Gateway, Chapter 5), client requests, team activity, and upcoming inspections — each a live feed off the event system, not a static list.</w:t>
      </w:r>
    </w:p>
    <w:p>
      <w:pPr>
        <w:spacing w:after="160"/>
      </w:pPr>
      <w:r>
        <w:t xml:space="preserve">This does not change the Design Bible's card grid or visual system (Design Bible Ch. 8) — it changes what powers the cards: real aggregation and event data from day one, architected per this chapter, rather than a v1 of hardcoded placeholders that later needs a rewrite to become 'live.'</w:t>
      </w:r>
    </w:p>
    <w:p>
      <w:pPr>
        <w:pStyle w:val="Heading1"/>
        <w:spacing w:after="240" w:before="480"/>
      </w:pPr>
      <w:r>
        <w:rPr>
          <w:color w:val="071B2E"/>
        </w:rPr>
        <w:t xml:space="preserve">Chapter 12 — Document Governance &amp; Relationship to the Frozen Set</w:t>
      </w:r>
    </w:p>
    <w:p>
      <w:pPr>
        <w:spacing w:after="160"/>
      </w:pPr>
      <w:r>
        <w:t xml:space="preserve">This System Architecture Bible is inserted as Prompt #003.5, between the frozen Design Bible (Prompt #003) and the Phase 1 build (Prompt #004). It does not revise or reopen the PRD, Engineering Standards Manual, or Design Bible — those remain frozen at Version 1.0. This document lives at /docs/13-Architecture-Bible and is itself frozen alongside them once approved, forming a four-document foundational set.</w:t>
      </w:r>
    </w:p>
    <w:tbl>
      <w:tblPr>
        <w:tblW w:type="pct" w:w="100%"/>
        <w:tblBorders>
          <w:top w:val="single" w:color="0E5AA7" w:sz="4"/>
          <w:left w:val="single" w:color="0E5AA7" w:sz="4"/>
          <w:bottom w:val="single" w:color="0E5AA7" w:sz="4"/>
          <w:right w:val="single" w:color="0E5AA7" w:sz="4"/>
          <w:insideH w:val="single" w:color="auto" w:sz="4"/>
          <w:insideV w:val="single" w:color="auto" w:sz="4"/>
        </w:tblBorders>
      </w:tblPr>
      <w:tblGrid>
        <w:gridCol w:w="100"/>
      </w:tblGrid>
      <w:tr>
        <w:tc>
          <w:tcPr>
            <w:shd w:fill="EAF1F8" w:val="clear"/>
            <w:tcMar>
              <w:top w:type="dxa" w:w="160"/>
              <w:left w:type="dxa" w:w="200"/>
              <w:bottom w:type="dxa" w:w="160"/>
              <w:right w:type="dxa" w:w="200"/>
            </w:tcMar>
          </w:tcPr>
          <w:p>
            <w:r>
              <w:rPr>
                <w:i/>
                <w:iCs/>
                <w:color w:val="071B2E"/>
              </w:rPr>
              <w:t xml:space="preserve">Recommended build order from this point (supersedes the phase list in PRD Vol. X pending formal revision of that volume): Phase 1 — Design System (theme, typography, icons, layouts, navigation, component library); Phase 2 — Authentication, Users, Organizations, Permissions, Language, Notifications; Phase 3 — Projects, Clients, Vendors, Subcontractors, Documents; Phase 4 — Estimating, AI, Blueprints, 3D, Material Studio; Phase 5 — Financial: Invoices, Payments, Reports, Analytics.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2B2F3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C9CDD2"/>
        <w:sz w:val="16"/>
        <w:szCs w:val="16"/>
      </w:rPr>
      <w:t xml:space="preserve">GOTTLIEB BUILD &amp; DESIGN · ARCHITECTURE BIBLE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pPr>
    <w:rPr>
      <w:b/>
      <w:bCs/>
      <w:color w:val="071B2E"/>
      <w:sz w:val="34"/>
      <w:szCs w:val="34"/>
    </w:rPr>
  </w:style>
  <w:style w:type="paragraph" w:styleId="Heading2">
    <w:name w:val="Heading 2"/>
    <w:basedOn w:val="Normal"/>
    <w:next w:val="Normal"/>
    <w:qFormat/>
    <w:pPr>
      <w:spacing w:after="180" w:before="360"/>
    </w:pPr>
    <w:rPr>
      <w:b/>
      <w:bCs/>
      <w:color w:val="0E5AA7"/>
      <w:sz w:val="27"/>
      <w:szCs w:val="27"/>
    </w:rPr>
  </w:style>
  <w:style w:type="paragraph" w:styleId="Heading3">
    <w:name w:val="Heading 3"/>
    <w:basedOn w:val="Normal"/>
    <w:next w:val="Normal"/>
    <w:qFormat/>
    <w:pPr>
      <w:spacing w:after="120" w:before="240"/>
    </w:pPr>
    <w:rPr>
      <w:b/>
      <w:bCs/>
      <w:color w:val="2B2F3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2026-08-04T22:35:24.223Z</dcterms:created>
  <dcterms:modified xsi:type="dcterms:W3CDTF">2026-08-04T22:35:24.236Z</dcterms:modified>
</cp:coreProperties>
</file>

<file path=docProps/custom.xml><?xml version="1.0" encoding="utf-8"?>
<Properties xmlns="http://schemas.openxmlformats.org/officeDocument/2006/custom-properties" xmlns:vt="http://schemas.openxmlformats.org/officeDocument/2006/docPropsVTypes"/>
</file>