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0E5AA7"/>
          <w:sz w:val="26"/>
          <w:szCs w:val="26"/>
        </w:rPr>
        <w:t xml:space="preserve">GOTTLIEB BUILD &amp; DESIGN</w:t>
      </w:r>
    </w:p>
    <w:p>
      <w:pPr>
        <w:spacing w:after="400" w:before="100"/>
        <w:jc w:val="center"/>
      </w:pPr>
      <w:r>
        <w:rPr>
          <w:rFonts w:ascii="Calibri" w:cs="Calibri" w:eastAsia="Calibri" w:hAnsi="Calibri"/>
          <w:color w:val="2B2F36"/>
          <w:sz w:val="20"/>
          <w:szCs w:val="20"/>
        </w:rPr>
        <w:t xml:space="preserve">CONSTRUCTION OPERATING SYSTEM</w:t>
      </w:r>
    </w:p>
    <w:p>
      <w:pPr>
        <w:spacing w:before="800"/>
        <w:jc w:val="center"/>
      </w:pPr>
      <w:r>
        <w:rPr>
          <w:rFonts w:ascii="Calibri" w:cs="Calibri" w:eastAsia="Calibri" w:hAnsi="Calibri"/>
          <w:b/>
          <w:bCs/>
          <w:color w:val="071B2E"/>
          <w:sz w:val="56"/>
          <w:szCs w:val="56"/>
        </w:rPr>
        <w:t xml:space="preserve">VOLUME I</w:t>
      </w:r>
    </w:p>
    <w:p>
      <w:pPr>
        <w:spacing w:after="800" w:before="200"/>
        <w:jc w:val="center"/>
      </w:pPr>
      <w:r>
        <w:rPr>
          <w:rFonts w:ascii="Calibri" w:cs="Calibri" w:eastAsia="Calibri" w:hAnsi="Calibri"/>
          <w:i/>
          <w:iCs/>
          <w:color w:val="0E5AA7"/>
          <w:sz w:val="24"/>
          <w:szCs w:val="24"/>
        </w:rPr>
        <w:t xml:space="preserve">Executive Summary &amp; Project Charter</w:t>
      </w:r>
    </w:p>
    <w:p>
      <w:pPr>
        <w:spacing w:before="2400"/>
        <w:jc w:val="center"/>
      </w:pPr>
      <w:r>
        <w:rPr>
          <w:color w:val="2B2F36"/>
          <w:sz w:val="20"/>
          <w:szCs w:val="20"/>
        </w:rPr>
        <w:t xml:space="preserve">CLAUDE MASTER PROMPT 001 · Document 01-Executive</w:t>
      </w:r>
    </w:p>
    <w:p>
      <w:pPr>
        <w:spacing w:before="100"/>
        <w:jc w:val="center"/>
      </w:pPr>
      <w:r>
        <w:rPr>
          <w:color w:val="2B2F36"/>
          <w:sz w:val="20"/>
          <w:szCs w:val="20"/>
        </w:rPr>
        <w:t xml:space="preserve">Master Product Requirements Document — Volume I</w:t>
      </w:r>
    </w:p>
    <w:p>
      <w:pPr>
        <w:spacing w:before="100"/>
        <w:jc w:val="center"/>
      </w:pPr>
      <w:r>
        <w:rPr>
          <w:b/>
          <w:bCs/>
          <w:color w:val="C9CDD2"/>
          <w:sz w:val="18"/>
          <w:szCs w:val="18"/>
        </w:rPr>
        <w:t xml:space="preserve">Status: Draft for Approval</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Chapter 1 — Purpose of This Document</w:t>
      </w:r>
    </w:p>
    <w:p>
      <w:pPr>
        <w:spacing w:after="160"/>
      </w:pPr>
      <w:r>
        <w:t xml:space="preserve">This Master Product Requirements Document (PRD) establishes the complete architectural, product, design, and operational foundation for Gottlieb Build &amp; Design, the flagship construction platform within the Gottlieb Operating System (GOS) ecosystem. It is the permanent reference document against which every future build prompt, engineering decision, and design choice will be measured.</w:t>
      </w:r>
    </w:p>
    <w:p>
      <w:pPr>
        <w:spacing w:after="160"/>
      </w:pPr>
      <w:r>
        <w:t xml:space="preserve">No production code, database migration, or UI component is generated from this volume. Its sole purpose is to define what is being built, why it is being built, who it serves, and how its parts fit together — before a single line of code is written.</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Governing principle: this document is the single source of truth. Where a future build prompt conflicts with this PRD, this PRD wins unless it is formally revised.</w:t>
            </w:r>
          </w:p>
        </w:tc>
      </w:tr>
    </w:tbl>
    <w:p>
      <w:pPr>
        <w:spacing w:after="160"/>
      </w:pPr>
      <w:r>
        <w:t xml:space="preserve"/>
      </w:r>
    </w:p>
    <w:p>
      <w:pPr>
        <w:pStyle w:val="Heading2"/>
        <w:spacing w:after="180" w:before="360"/>
      </w:pPr>
      <w:r>
        <w:rPr>
          <w:color w:val="0E5AA7"/>
        </w:rPr>
        <w:t xml:space="preserve">1.1 Document Structure</w:t>
      </w:r>
    </w:p>
    <w:p>
      <w:pPr>
        <w:spacing w:after="160"/>
      </w:pPr>
      <w:r>
        <w:t xml:space="preserve">This PRD is organized as a multi-volume set, mirroring the /docs repository structure so that each volume can be maintained, versioned, and referenced independently:</w:t>
      </w:r>
    </w:p>
    <w:p>
      <w:pPr>
        <w:pStyle w:val="ListParagraph"/>
        <w:numPr>
          <w:ilvl w:val="0"/>
          <w:numId w:val="2"/>
        </w:numPr>
        <w:spacing w:after="60"/>
      </w:pPr>
      <w:r>
        <w:t xml:space="preserve">01-Executive — Project charter, vision, scope boundaries (this volume)</w:t>
      </w:r>
    </w:p>
    <w:p>
      <w:pPr>
        <w:pStyle w:val="ListParagraph"/>
        <w:numPr>
          <w:ilvl w:val="0"/>
          <w:numId w:val="2"/>
        </w:numPr>
        <w:spacing w:after="60"/>
      </w:pPr>
      <w:r>
        <w:t xml:space="preserve">02-Brand — Visual identity, design philosophy, and design system</w:t>
      </w:r>
    </w:p>
    <w:p>
      <w:pPr>
        <w:pStyle w:val="ListParagraph"/>
        <w:numPr>
          <w:ilvl w:val="0"/>
          <w:numId w:val="2"/>
        </w:numPr>
        <w:spacing w:after="60"/>
      </w:pPr>
      <w:r>
        <w:t xml:space="preserve">03-Architecture — System architecture, technology stack, environments</w:t>
      </w:r>
    </w:p>
    <w:p>
      <w:pPr>
        <w:pStyle w:val="ListParagraph"/>
        <w:numPr>
          <w:ilvl w:val="0"/>
          <w:numId w:val="2"/>
        </w:numPr>
        <w:spacing w:after="60"/>
      </w:pPr>
      <w:r>
        <w:t xml:space="preserve">04-Database — PostgreSQL schema, ER diagrams, relationships, indexes</w:t>
      </w:r>
    </w:p>
    <w:p>
      <w:pPr>
        <w:pStyle w:val="ListParagraph"/>
        <w:numPr>
          <w:ilvl w:val="0"/>
          <w:numId w:val="2"/>
        </w:numPr>
        <w:spacing w:after="60"/>
      </w:pPr>
      <w:r>
        <w:t xml:space="preserve">05-Permissions — Role-based access control and Row Level Security model</w:t>
      </w:r>
    </w:p>
    <w:p>
      <w:pPr>
        <w:pStyle w:val="ListParagraph"/>
        <w:numPr>
          <w:ilvl w:val="0"/>
          <w:numId w:val="2"/>
        </w:numPr>
        <w:spacing w:after="60"/>
      </w:pPr>
      <w:r>
        <w:t xml:space="preserve">06-Modules — Functional specification for every application module</w:t>
      </w:r>
    </w:p>
    <w:p>
      <w:pPr>
        <w:pStyle w:val="ListParagraph"/>
        <w:numPr>
          <w:ilvl w:val="0"/>
          <w:numId w:val="2"/>
        </w:numPr>
        <w:spacing w:after="60"/>
      </w:pPr>
      <w:r>
        <w:t xml:space="preserve">07-AI — AI Estimating, Blueprint Intelligence, and AI Assistant strategy</w:t>
      </w:r>
    </w:p>
    <w:p>
      <w:pPr>
        <w:pStyle w:val="ListParagraph"/>
        <w:numPr>
          <w:ilvl w:val="0"/>
          <w:numId w:val="2"/>
        </w:numPr>
        <w:spacing w:after="60"/>
      </w:pPr>
      <w:r>
        <w:t xml:space="preserve">08-3D — 3D Design Studio, GLB pipeline, and material configurator</w:t>
      </w:r>
    </w:p>
    <w:p>
      <w:pPr>
        <w:pStyle w:val="ListParagraph"/>
        <w:numPr>
          <w:ilvl w:val="0"/>
          <w:numId w:val="2"/>
        </w:numPr>
        <w:spacing w:after="60"/>
      </w:pPr>
      <w:r>
        <w:t xml:space="preserve">09-API — REST API design, authentication, webhooks, integration layer</w:t>
      </w:r>
    </w:p>
    <w:p>
      <w:pPr>
        <w:pStyle w:val="ListParagraph"/>
        <w:numPr>
          <w:ilvl w:val="0"/>
          <w:numId w:val="2"/>
        </w:numPr>
        <w:spacing w:after="60"/>
      </w:pPr>
      <w:r>
        <w:t xml:space="preserve">10-Roadmap — Technical, module, AI, UI, database, and release roadmaps</w:t>
      </w:r>
    </w:p>
    <w:p>
      <w:pPr>
        <w:spacing w:after="160"/>
      </w:pPr>
      <w:r>
        <w:t xml:space="preserve"/>
      </w:r>
    </w:p>
    <w:p>
      <w:pPr>
        <w:pStyle w:val="Heading2"/>
        <w:spacing w:after="180" w:before="360"/>
      </w:pPr>
      <w:r>
        <w:rPr>
          <w:color w:val="0E5AA7"/>
        </w:rPr>
        <w:t xml:space="preserve">1.2 How to Use This Document</w:t>
      </w:r>
    </w:p>
    <w:p>
      <w:pPr>
        <w:spacing w:after="160"/>
      </w:pPr>
      <w:r>
        <w:t xml:space="preserve">Product, design, and engineering stakeholders should read this Executive volume in full before reviewing any other volume. Engineers implementing a specific module should read this volume plus the relevant module-specific volume (06-Modules) and the Architecture and Database volumes. Designers should pair this volume with 02-Brand. No volume should be implemented in isolation — cross-references appear throughout to keep decisions consistent.</w:t>
      </w:r>
    </w:p>
    <w:p>
      <w:pPr>
        <w:pStyle w:val="Heading1"/>
        <w:spacing w:after="240" w:before="480"/>
      </w:pPr>
      <w:r>
        <w:rPr>
          <w:color w:val="071B2E"/>
        </w:rPr>
        <w:t xml:space="preserve">Chapter 2 — Project Charter</w:t>
      </w:r>
    </w:p>
    <w:p>
      <w:pPr>
        <w:pStyle w:val="Heading2"/>
        <w:spacing w:after="180" w:before="360"/>
      </w:pPr>
      <w:r>
        <w:rPr>
          <w:color w:val="0E5AA7"/>
        </w:rPr>
        <w:t xml:space="preserve">2.1 Project Name</w:t>
      </w:r>
    </w:p>
    <w:p>
      <w:pPr>
        <w:spacing w:after="160"/>
      </w:pPr>
      <w:r>
        <w:t xml:space="preserve">Gottlieb Build &amp; Design — the flagship construction platform of the Gottlieb Operating System (GOS).</w:t>
      </w:r>
    </w:p>
    <w:p>
      <w:pPr>
        <w:pStyle w:val="Heading2"/>
        <w:spacing w:after="180" w:before="360"/>
      </w:pPr>
      <w:r>
        <w:rPr>
          <w:color w:val="0E5AA7"/>
        </w:rPr>
        <w:t xml:space="preserve">2.2 Project Classification</w:t>
      </w:r>
    </w:p>
    <w:p>
      <w:pPr>
        <w:spacing w:after="160"/>
      </w:pPr>
      <w:r>
        <w:t xml:space="preserve">This is not a contractor CRM, a scheduling tool, or a document-storage utility. It is classified as a Construction Operating System: a unified platform that spans estimating, design visualization, field execution, portal-based collaboration, financials, and reporting for the full lifecycle of a construction project.</w:t>
      </w:r>
    </w:p>
    <w:p>
      <w:pPr>
        <w:pStyle w:val="Heading2"/>
        <w:spacing w:after="180" w:before="360"/>
      </w:pPr>
      <w:r>
        <w:rPr>
          <w:color w:val="0E5AA7"/>
        </w:rPr>
        <w:t xml:space="preserve">2.3 Sponsoring Ecosystem</w:t>
      </w:r>
    </w:p>
    <w:p>
      <w:pPr>
        <w:spacing w:after="160"/>
      </w:pPr>
      <w:r>
        <w:t xml:space="preserve">Gottlieb Build &amp; Design is one application within the broader GOS ecosystem. It integrates with, but does not absorb or redesign, the existing GOS Document Generator. It communicates with that system exclusively through a defined API integration layer (see Volume IX — API).</w:t>
      </w:r>
    </w:p>
    <w:p>
      <w:pPr>
        <w:pStyle w:val="Heading2"/>
        <w:spacing w:after="180" w:before="360"/>
      </w:pPr>
      <w:r>
        <w:rPr>
          <w:color w:val="0E5AA7"/>
        </w:rPr>
        <w:t xml:space="preserve">2.4 Explicit Non-Goals</w:t>
      </w:r>
    </w:p>
    <w:p>
      <w:pPr>
        <w:spacing w:after="160"/>
      </w:pPr>
      <w:r>
        <w:t xml:space="preserve">To keep scope disciplined, the following are explicitly out of scope for this platform and must never be designed into it:</w:t>
      </w:r>
    </w:p>
    <w:p>
      <w:pPr>
        <w:pStyle w:val="ListParagraph"/>
        <w:numPr>
          <w:ilvl w:val="0"/>
          <w:numId w:val="2"/>
        </w:numPr>
        <w:spacing w:after="60"/>
      </w:pPr>
      <w:r>
        <w:t xml:space="preserve">Rebuilding or redesigning the GOS Document Generator — it is integrated with, not replaced.</w:t>
      </w:r>
    </w:p>
    <w:p>
      <w:pPr>
        <w:pStyle w:val="ListParagraph"/>
        <w:numPr>
          <w:ilvl w:val="0"/>
          <w:numId w:val="2"/>
        </w:numPr>
        <w:spacing w:after="60"/>
      </w:pPr>
      <w:r>
        <w:t xml:space="preserve">Any Medical Administration functionality: HIPAA compliance, medical records, patient data, clinical workflows, medical billing, or credentialing. These belong to a separate, future Medical Administration OS and must remain architecturally isolated.</w:t>
      </w:r>
    </w:p>
    <w:p>
      <w:pPr>
        <w:pStyle w:val="ListParagraph"/>
        <w:numPr>
          <w:ilvl w:val="0"/>
          <w:numId w:val="2"/>
        </w:numPr>
        <w:spacing w:after="60"/>
      </w:pPr>
      <w:r>
        <w:t xml:space="preserve">General-purpose CRM functionality unrelated to construction project delivery.</w:t>
      </w:r>
    </w:p>
    <w:p>
      <w:pPr>
        <w:pStyle w:val="ListParagraph"/>
        <w:numPr>
          <w:ilvl w:val="0"/>
          <w:numId w:val="2"/>
        </w:numPr>
        <w:spacing w:after="60"/>
      </w:pPr>
      <w:r>
        <w:t xml:space="preserve">A custom 3D rendering engine — the 3D Design Studio consumes pre-built Blender GLB assets rather than performing rendering computation itself.</w:t>
      </w:r>
    </w:p>
    <w:p>
      <w:pPr>
        <w:pStyle w:val="Heading1"/>
        <w:spacing w:after="240" w:before="480"/>
      </w:pPr>
      <w:r>
        <w:rPr>
          <w:color w:val="071B2E"/>
        </w:rPr>
        <w:t xml:space="preserve">Chapter 3 — Market Coverage</w:t>
      </w:r>
    </w:p>
    <w:p>
      <w:pPr>
        <w:spacing w:after="160"/>
      </w:pPr>
      <w:r>
        <w:t xml:space="preserve">The platform must serve the full range of construction and development project types operated under the Gottlieb portfolio:</w:t>
      </w:r>
    </w:p>
    <w:p>
      <w:pPr>
        <w:pStyle w:val="ListParagraph"/>
        <w:numPr>
          <w:ilvl w:val="0"/>
          <w:numId w:val="2"/>
        </w:numPr>
        <w:spacing w:after="60"/>
      </w:pPr>
      <w:r>
        <w:t xml:space="preserve">Luxury Residential Construction</w:t>
      </w:r>
    </w:p>
    <w:p>
      <w:pPr>
        <w:pStyle w:val="ListParagraph"/>
        <w:numPr>
          <w:ilvl w:val="0"/>
          <w:numId w:val="2"/>
        </w:numPr>
        <w:spacing w:after="60"/>
      </w:pPr>
      <w:r>
        <w:t xml:space="preserve">Commercial Construction</w:t>
      </w:r>
    </w:p>
    <w:p>
      <w:pPr>
        <w:pStyle w:val="ListParagraph"/>
        <w:numPr>
          <w:ilvl w:val="0"/>
          <w:numId w:val="2"/>
        </w:numPr>
        <w:spacing w:after="60"/>
      </w:pPr>
      <w:r>
        <w:t xml:space="preserve">Ground-Up Development</w:t>
      </w:r>
    </w:p>
    <w:p>
      <w:pPr>
        <w:pStyle w:val="ListParagraph"/>
        <w:numPr>
          <w:ilvl w:val="0"/>
          <w:numId w:val="2"/>
        </w:numPr>
        <w:spacing w:after="60"/>
      </w:pPr>
      <w:r>
        <w:t xml:space="preserve">Remodeling</w:t>
      </w:r>
    </w:p>
    <w:p>
      <w:pPr>
        <w:pStyle w:val="ListParagraph"/>
        <w:numPr>
          <w:ilvl w:val="0"/>
          <w:numId w:val="2"/>
        </w:numPr>
        <w:spacing w:after="60"/>
      </w:pPr>
      <w:r>
        <w:t xml:space="preserve">Tenant Improvements</w:t>
      </w:r>
    </w:p>
    <w:p>
      <w:pPr>
        <w:pStyle w:val="ListParagraph"/>
        <w:numPr>
          <w:ilvl w:val="0"/>
          <w:numId w:val="2"/>
        </w:numPr>
        <w:spacing w:after="60"/>
      </w:pPr>
      <w:r>
        <w:t xml:space="preserve">Medical Buildings (construction only — not medical operations)</w:t>
      </w:r>
    </w:p>
    <w:p>
      <w:pPr>
        <w:pStyle w:val="ListParagraph"/>
        <w:numPr>
          <w:ilvl w:val="0"/>
          <w:numId w:val="2"/>
        </w:numPr>
        <w:spacing w:after="60"/>
      </w:pPr>
      <w:r>
        <w:t xml:space="preserve">Mixed-Use Projects</w:t>
      </w:r>
    </w:p>
    <w:p>
      <w:pPr>
        <w:pStyle w:val="ListParagraph"/>
        <w:numPr>
          <w:ilvl w:val="0"/>
          <w:numId w:val="2"/>
        </w:numPr>
        <w:spacing w:after="60"/>
      </w:pPr>
      <w:r>
        <w:t xml:space="preserve">Hotels</w:t>
      </w:r>
    </w:p>
    <w:p>
      <w:pPr>
        <w:pStyle w:val="ListParagraph"/>
        <w:numPr>
          <w:ilvl w:val="0"/>
          <w:numId w:val="2"/>
        </w:numPr>
        <w:spacing w:after="60"/>
      </w:pPr>
      <w:r>
        <w:t xml:space="preserve">Multi-Family</w:t>
      </w:r>
    </w:p>
    <w:p>
      <w:pPr>
        <w:pStyle w:val="ListParagraph"/>
        <w:numPr>
          <w:ilvl w:val="0"/>
          <w:numId w:val="2"/>
        </w:numPr>
        <w:spacing w:after="60"/>
      </w:pPr>
      <w:r>
        <w:t xml:space="preserve">ADUs</w:t>
      </w:r>
    </w:p>
    <w:p>
      <w:pPr>
        <w:pStyle w:val="ListParagraph"/>
        <w:numPr>
          <w:ilvl w:val="0"/>
          <w:numId w:val="2"/>
        </w:numPr>
        <w:spacing w:after="60"/>
      </w:pPr>
      <w:r>
        <w:t xml:space="preserve">Property Development</w:t>
      </w:r>
    </w:p>
    <w:p>
      <w:pPr>
        <w:spacing w:after="160"/>
      </w:pPr>
      <w:r>
        <w:t xml:space="preserve">Note the distinction in scope: "Medical Buildings" refers to the construction and build-out of medical facilities as a project type — indistinguishable in the system from any other commercial construction project. It does not imply any medical/clinical data handling; that boundary is treated as absolute (see 2.4).</w:t>
      </w:r>
    </w:p>
    <w:p>
      <w:pPr>
        <w:pStyle w:val="Heading1"/>
        <w:spacing w:after="240" w:before="480"/>
      </w:pPr>
      <w:r>
        <w:rPr>
          <w:color w:val="071B2E"/>
        </w:rPr>
        <w:t xml:space="preserve">Chapter 4 — Long-Term Product Vision</w:t>
      </w:r>
    </w:p>
    <w:p>
      <w:pPr>
        <w:spacing w:after="160"/>
      </w:pPr>
      <w:r>
        <w:t xml:space="preserve">The platform is designed to grow from a core project-management and 3D visualization system into a fully AI-augmented construction intelligence platform. The long-term capability set, in the sequence this document anticipates them maturing, includes:</w:t>
      </w:r>
    </w:p>
    <w:p>
      <w:pPr>
        <w:pStyle w:val="Heading2"/>
        <w:spacing w:after="180" w:before="360"/>
      </w:pPr>
      <w:r>
        <w:rPr>
          <w:color w:val="0E5AA7"/>
        </w:rPr>
        <w:t xml:space="preserve">4.1 Intelligence Layer</w:t>
      </w:r>
    </w:p>
    <w:p>
      <w:pPr>
        <w:pStyle w:val="ListParagraph"/>
        <w:numPr>
          <w:ilvl w:val="0"/>
          <w:numId w:val="2"/>
        </w:numPr>
        <w:spacing w:after="60"/>
      </w:pPr>
      <w:r>
        <w:t xml:space="preserve">AI Estimating</w:t>
      </w:r>
    </w:p>
    <w:p>
      <w:pPr>
        <w:pStyle w:val="ListParagraph"/>
        <w:numPr>
          <w:ilvl w:val="0"/>
          <w:numId w:val="2"/>
        </w:numPr>
        <w:spacing w:after="60"/>
      </w:pPr>
      <w:r>
        <w:t xml:space="preserve">Blueprint Intelligence</w:t>
      </w:r>
    </w:p>
    <w:p>
      <w:pPr>
        <w:pStyle w:val="ListParagraph"/>
        <w:numPr>
          <w:ilvl w:val="0"/>
          <w:numId w:val="2"/>
        </w:numPr>
        <w:spacing w:after="60"/>
      </w:pPr>
      <w:r>
        <w:t xml:space="preserve">Blueprint Comparison</w:t>
      </w:r>
    </w:p>
    <w:p>
      <w:pPr>
        <w:pStyle w:val="ListParagraph"/>
        <w:numPr>
          <w:ilvl w:val="0"/>
          <w:numId w:val="2"/>
        </w:numPr>
        <w:spacing w:after="60"/>
      </w:pPr>
      <w:r>
        <w:t xml:space="preserve">Voice Dictation</w:t>
      </w:r>
    </w:p>
    <w:p>
      <w:pPr>
        <w:pStyle w:val="ListParagraph"/>
        <w:numPr>
          <w:ilvl w:val="0"/>
          <w:numId w:val="2"/>
        </w:numPr>
        <w:spacing w:after="60"/>
      </w:pPr>
      <w:r>
        <w:t xml:space="preserve">AI Scope Generation</w:t>
      </w:r>
    </w:p>
    <w:p>
      <w:pPr>
        <w:pStyle w:val="ListParagraph"/>
        <w:numPr>
          <w:ilvl w:val="0"/>
          <w:numId w:val="2"/>
        </w:numPr>
        <w:spacing w:after="60"/>
      </w:pPr>
      <w:r>
        <w:t xml:space="preserve">AI Material Suggestions</w:t>
      </w:r>
    </w:p>
    <w:p>
      <w:pPr>
        <w:pStyle w:val="ListParagraph"/>
        <w:numPr>
          <w:ilvl w:val="0"/>
          <w:numId w:val="2"/>
        </w:numPr>
        <w:spacing w:after="60"/>
      </w:pPr>
      <w:r>
        <w:t xml:space="preserve">AI Construction Assistant</w:t>
      </w:r>
    </w:p>
    <w:p>
      <w:pPr>
        <w:pStyle w:val="ListParagraph"/>
        <w:numPr>
          <w:ilvl w:val="0"/>
          <w:numId w:val="2"/>
        </w:numPr>
        <w:spacing w:after="60"/>
      </w:pPr>
      <w:r>
        <w:t xml:space="preserve">AI Scheduling</w:t>
      </w:r>
    </w:p>
    <w:p>
      <w:pPr>
        <w:pStyle w:val="ListParagraph"/>
        <w:numPr>
          <w:ilvl w:val="0"/>
          <w:numId w:val="2"/>
        </w:numPr>
        <w:spacing w:after="60"/>
      </w:pPr>
      <w:r>
        <w:t xml:space="preserve">AI Document Generation</w:t>
      </w:r>
    </w:p>
    <w:p>
      <w:pPr>
        <w:pStyle w:val="ListParagraph"/>
        <w:numPr>
          <w:ilvl w:val="0"/>
          <w:numId w:val="2"/>
        </w:numPr>
        <w:spacing w:after="60"/>
      </w:pPr>
      <w:r>
        <w:t xml:space="preserve">AI Project Analytics</w:t>
      </w:r>
    </w:p>
    <w:p>
      <w:pPr>
        <w:pStyle w:val="Heading2"/>
        <w:spacing w:after="180" w:before="360"/>
      </w:pPr>
      <w:r>
        <w:rPr>
          <w:color w:val="0E5AA7"/>
        </w:rPr>
        <w:t xml:space="preserve">4.2 Visualization Layer</w:t>
      </w:r>
    </w:p>
    <w:p>
      <w:pPr>
        <w:pStyle w:val="ListParagraph"/>
        <w:numPr>
          <w:ilvl w:val="0"/>
          <w:numId w:val="2"/>
        </w:numPr>
        <w:spacing w:after="60"/>
      </w:pPr>
      <w:r>
        <w:t xml:space="preserve">Interactive 3D Design Studio</w:t>
      </w:r>
    </w:p>
    <w:p>
      <w:pPr>
        <w:pStyle w:val="ListParagraph"/>
        <w:numPr>
          <w:ilvl w:val="0"/>
          <w:numId w:val="2"/>
        </w:numPr>
        <w:spacing w:after="60"/>
      </w:pPr>
      <w:r>
        <w:t xml:space="preserve">Before &amp; After Visualization</w:t>
      </w:r>
    </w:p>
    <w:p>
      <w:pPr>
        <w:pStyle w:val="ListParagraph"/>
        <w:numPr>
          <w:ilvl w:val="0"/>
          <w:numId w:val="2"/>
        </w:numPr>
        <w:spacing w:after="60"/>
      </w:pPr>
      <w:r>
        <w:t xml:space="preserve">Material Selection Studio</w:t>
      </w:r>
    </w:p>
    <w:p>
      <w:pPr>
        <w:pStyle w:val="Heading2"/>
        <w:spacing w:after="180" w:before="360"/>
      </w:pPr>
      <w:r>
        <w:rPr>
          <w:color w:val="0E5AA7"/>
        </w:rPr>
        <w:t xml:space="preserve">4.3 Collaboration Layer</w:t>
      </w:r>
    </w:p>
    <w:p>
      <w:pPr>
        <w:pStyle w:val="ListParagraph"/>
        <w:numPr>
          <w:ilvl w:val="0"/>
          <w:numId w:val="2"/>
        </w:numPr>
        <w:spacing w:after="60"/>
      </w:pPr>
      <w:r>
        <w:t xml:space="preserve">Client Portal</w:t>
      </w:r>
    </w:p>
    <w:p>
      <w:pPr>
        <w:pStyle w:val="ListParagraph"/>
        <w:numPr>
          <w:ilvl w:val="0"/>
          <w:numId w:val="2"/>
        </w:numPr>
        <w:spacing w:after="60"/>
      </w:pPr>
      <w:r>
        <w:t xml:space="preserve">Vendor Portal</w:t>
      </w:r>
    </w:p>
    <w:p>
      <w:pPr>
        <w:pStyle w:val="ListParagraph"/>
        <w:numPr>
          <w:ilvl w:val="0"/>
          <w:numId w:val="2"/>
        </w:numPr>
        <w:spacing w:after="60"/>
      </w:pPr>
      <w:r>
        <w:t xml:space="preserve">Subcontractor Portal</w:t>
      </w:r>
    </w:p>
    <w:p>
      <w:pPr>
        <w:pStyle w:val="ListParagraph"/>
        <w:numPr>
          <w:ilvl w:val="0"/>
          <w:numId w:val="2"/>
        </w:numPr>
        <w:spacing w:after="60"/>
      </w:pPr>
      <w:r>
        <w:t xml:space="preserve">Architect Portal</w:t>
      </w:r>
    </w:p>
    <w:p>
      <w:pPr>
        <w:pStyle w:val="ListParagraph"/>
        <w:numPr>
          <w:ilvl w:val="0"/>
          <w:numId w:val="2"/>
        </w:numPr>
        <w:spacing w:after="60"/>
      </w:pPr>
      <w:r>
        <w:t xml:space="preserve">Engineer Portal</w:t>
      </w:r>
    </w:p>
    <w:p>
      <w:pPr>
        <w:pStyle w:val="ListParagraph"/>
        <w:numPr>
          <w:ilvl w:val="0"/>
          <w:numId w:val="2"/>
        </w:numPr>
        <w:spacing w:after="60"/>
      </w:pPr>
      <w:r>
        <w:t xml:space="preserve">Inspector Portal</w:t>
      </w:r>
    </w:p>
    <w:p>
      <w:pPr>
        <w:pStyle w:val="Heading2"/>
        <w:spacing w:after="180" w:before="360"/>
      </w:pPr>
      <w:r>
        <w:rPr>
          <w:color w:val="0E5AA7"/>
        </w:rPr>
        <w:t xml:space="preserve">4.4 Operational Layer</w:t>
      </w:r>
    </w:p>
    <w:p>
      <w:pPr>
        <w:pStyle w:val="ListParagraph"/>
        <w:numPr>
          <w:ilvl w:val="0"/>
          <w:numId w:val="2"/>
        </w:numPr>
        <w:spacing w:after="60"/>
      </w:pPr>
      <w:r>
        <w:t xml:space="preserve">Change Orders</w:t>
      </w:r>
    </w:p>
    <w:p>
      <w:pPr>
        <w:pStyle w:val="ListParagraph"/>
        <w:numPr>
          <w:ilvl w:val="0"/>
          <w:numId w:val="2"/>
        </w:numPr>
        <w:spacing w:after="60"/>
      </w:pPr>
      <w:r>
        <w:t xml:space="preserve">Progress Tracking</w:t>
      </w:r>
    </w:p>
    <w:p>
      <w:pPr>
        <w:pStyle w:val="ListParagraph"/>
        <w:numPr>
          <w:ilvl w:val="0"/>
          <w:numId w:val="2"/>
        </w:numPr>
        <w:spacing w:after="60"/>
      </w:pPr>
      <w:r>
        <w:t xml:space="preserve">Electronic Signatures</w:t>
      </w:r>
    </w:p>
    <w:p>
      <w:pPr>
        <w:pStyle w:val="ListParagraph"/>
        <w:numPr>
          <w:ilvl w:val="0"/>
          <w:numId w:val="2"/>
        </w:numPr>
        <w:spacing w:after="60"/>
      </w:pPr>
      <w:r>
        <w:t xml:space="preserve">Project Financials</w:t>
      </w:r>
    </w:p>
    <w:p>
      <w:pPr>
        <w:pStyle w:val="ListParagraph"/>
        <w:numPr>
          <w:ilvl w:val="0"/>
          <w:numId w:val="2"/>
        </w:numPr>
        <w:spacing w:after="60"/>
      </w:pPr>
      <w:r>
        <w:t xml:space="preserve">Reports</w:t>
      </w:r>
    </w:p>
    <w:p>
      <w:pPr>
        <w:pStyle w:val="ListParagraph"/>
        <w:numPr>
          <w:ilvl w:val="0"/>
          <w:numId w:val="2"/>
        </w:numPr>
        <w:spacing w:after="60"/>
      </w:pPr>
      <w:r>
        <w:t xml:space="preserve">Dashboards</w:t>
      </w:r>
    </w:p>
    <w:p>
      <w:pPr>
        <w:pStyle w:val="ListParagraph"/>
        <w:numPr>
          <w:ilvl w:val="0"/>
          <w:numId w:val="2"/>
        </w:numPr>
        <w:spacing w:after="60"/>
      </w:pPr>
      <w:r>
        <w:t xml:space="preserve">Notifications</w:t>
      </w:r>
    </w:p>
    <w:p>
      <w:pPr>
        <w:pStyle w:val="ListParagraph"/>
        <w:numPr>
          <w:ilvl w:val="0"/>
          <w:numId w:val="2"/>
        </w:numPr>
        <w:spacing w:after="60"/>
      </w:pPr>
      <w:r>
        <w:t xml:space="preserve">Mobile Apps</w:t>
      </w:r>
    </w:p>
    <w:p>
      <w:pPr>
        <w:spacing w:after="160"/>
      </w:pPr>
      <w:r>
        <w:t xml:space="preserve">Volume X (Roadmap) sequences these into phased releases. This chapter establishes the destination; it does not commit to a delivery order.</w:t>
      </w:r>
    </w:p>
    <w:p>
      <w:pPr>
        <w:pStyle w:val="Heading1"/>
        <w:spacing w:after="240" w:before="480"/>
      </w:pPr>
      <w:r>
        <w:rPr>
          <w:color w:val="071B2E"/>
        </w:rPr>
        <w:t xml:space="preserve">Chapter 5 — Design Philosophy (Executive Summary)</w:t>
      </w:r>
    </w:p>
    <w:p>
      <w:pPr>
        <w:spacing w:after="160"/>
      </w:pPr>
      <w:r>
        <w:t xml:space="preserve">The product must read as premium, minimal, and confident — closer in spirit to Apple, Bentley, Porsche, Notion, Linear, and Foster + Partners than to Buildertrend, Procore, Monday, or Jobber. This is a strategic product decision, not a cosmetic preference: the platform is meant to be the software equivalent of the luxury builds it manages. Full detail, including the color system and component standards, is defined in Volume II — Brand.</w:t>
      </w:r>
    </w:p>
    <w:p>
      <w:pPr>
        <w:pStyle w:val="Heading1"/>
        <w:spacing w:after="240" w:before="480"/>
      </w:pPr>
      <w:r>
        <w:rPr>
          <w:color w:val="071B2E"/>
        </w:rPr>
        <w:t xml:space="preserve">Chapter 6 — Stakeholders &amp; User Roles</w:t>
      </w:r>
    </w:p>
    <w:p>
      <w:pPr>
        <w:spacing w:after="160"/>
      </w:pPr>
      <w:r>
        <w:t xml:space="preserve">Fifteen distinct roles are recognized by the system, each with role-based permissions and support for project-level overrides via Supabase Row Level Security. The full permission matrix is defined in Volume V — Permissions.</w:t>
      </w:r>
    </w:p>
    <w:p>
      <w:pPr>
        <w:pStyle w:val="ListParagraph"/>
        <w:numPr>
          <w:ilvl w:val="0"/>
          <w:numId w:val="2"/>
        </w:numPr>
        <w:spacing w:after="60"/>
      </w:pPr>
      <w:r>
        <w:t xml:space="preserve">Super Administrator</w:t>
      </w:r>
    </w:p>
    <w:p>
      <w:pPr>
        <w:pStyle w:val="ListParagraph"/>
        <w:numPr>
          <w:ilvl w:val="0"/>
          <w:numId w:val="2"/>
        </w:numPr>
        <w:spacing w:after="60"/>
      </w:pPr>
      <w:r>
        <w:t xml:space="preserve">Administrator</w:t>
      </w:r>
    </w:p>
    <w:p>
      <w:pPr>
        <w:pStyle w:val="ListParagraph"/>
        <w:numPr>
          <w:ilvl w:val="0"/>
          <w:numId w:val="2"/>
        </w:numPr>
        <w:spacing w:after="60"/>
      </w:pPr>
      <w:r>
        <w:t xml:space="preserve">Project Manager</w:t>
      </w:r>
    </w:p>
    <w:p>
      <w:pPr>
        <w:pStyle w:val="ListParagraph"/>
        <w:numPr>
          <w:ilvl w:val="0"/>
          <w:numId w:val="2"/>
        </w:numPr>
        <w:spacing w:after="60"/>
      </w:pPr>
      <w:r>
        <w:t xml:space="preserve">Estimator</w:t>
      </w:r>
    </w:p>
    <w:p>
      <w:pPr>
        <w:pStyle w:val="ListParagraph"/>
        <w:numPr>
          <w:ilvl w:val="0"/>
          <w:numId w:val="2"/>
        </w:numPr>
        <w:spacing w:after="60"/>
      </w:pPr>
      <w:r>
        <w:t xml:space="preserve">Superintendent</w:t>
      </w:r>
    </w:p>
    <w:p>
      <w:pPr>
        <w:pStyle w:val="ListParagraph"/>
        <w:numPr>
          <w:ilvl w:val="0"/>
          <w:numId w:val="2"/>
        </w:numPr>
        <w:spacing w:after="60"/>
      </w:pPr>
      <w:r>
        <w:t xml:space="preserve">Client</w:t>
      </w:r>
    </w:p>
    <w:p>
      <w:pPr>
        <w:pStyle w:val="ListParagraph"/>
        <w:numPr>
          <w:ilvl w:val="0"/>
          <w:numId w:val="2"/>
        </w:numPr>
        <w:spacing w:after="60"/>
      </w:pPr>
      <w:r>
        <w:t xml:space="preserve">Vendor</w:t>
      </w:r>
    </w:p>
    <w:p>
      <w:pPr>
        <w:pStyle w:val="ListParagraph"/>
        <w:numPr>
          <w:ilvl w:val="0"/>
          <w:numId w:val="2"/>
        </w:numPr>
        <w:spacing w:after="60"/>
      </w:pPr>
      <w:r>
        <w:t xml:space="preserve">Subcontractor</w:t>
      </w:r>
    </w:p>
    <w:p>
      <w:pPr>
        <w:pStyle w:val="ListParagraph"/>
        <w:numPr>
          <w:ilvl w:val="0"/>
          <w:numId w:val="2"/>
        </w:numPr>
        <w:spacing w:after="60"/>
      </w:pPr>
      <w:r>
        <w:t xml:space="preserve">Architect</w:t>
      </w:r>
    </w:p>
    <w:p>
      <w:pPr>
        <w:pStyle w:val="ListParagraph"/>
        <w:numPr>
          <w:ilvl w:val="0"/>
          <w:numId w:val="2"/>
        </w:numPr>
        <w:spacing w:after="60"/>
      </w:pPr>
      <w:r>
        <w:t xml:space="preserve">Engineer</w:t>
      </w:r>
    </w:p>
    <w:p>
      <w:pPr>
        <w:pStyle w:val="ListParagraph"/>
        <w:numPr>
          <w:ilvl w:val="0"/>
          <w:numId w:val="2"/>
        </w:numPr>
        <w:spacing w:after="60"/>
      </w:pPr>
      <w:r>
        <w:t xml:space="preserve">Inspector</w:t>
      </w:r>
    </w:p>
    <w:p>
      <w:pPr>
        <w:pStyle w:val="ListParagraph"/>
        <w:numPr>
          <w:ilvl w:val="0"/>
          <w:numId w:val="2"/>
        </w:numPr>
        <w:spacing w:after="60"/>
      </w:pPr>
      <w:r>
        <w:t xml:space="preserve">Accountant</w:t>
      </w:r>
    </w:p>
    <w:p>
      <w:pPr>
        <w:pStyle w:val="ListParagraph"/>
        <w:numPr>
          <w:ilvl w:val="0"/>
          <w:numId w:val="2"/>
        </w:numPr>
        <w:spacing w:after="60"/>
      </w:pPr>
      <w:r>
        <w:t xml:space="preserve">Office Staff</w:t>
      </w:r>
    </w:p>
    <w:p>
      <w:pPr>
        <w:pStyle w:val="ListParagraph"/>
        <w:numPr>
          <w:ilvl w:val="0"/>
          <w:numId w:val="2"/>
        </w:numPr>
        <w:spacing w:after="60"/>
      </w:pPr>
      <w:r>
        <w:t xml:space="preserve">Read Only</w:t>
      </w:r>
    </w:p>
    <w:p>
      <w:pPr>
        <w:pStyle w:val="Heading1"/>
        <w:spacing w:after="240" w:before="480"/>
      </w:pPr>
      <w:r>
        <w:rPr>
          <w:color w:val="071B2E"/>
        </w:rPr>
        <w:t xml:space="preserve">Chapter 7 — Internationalization Commitment</w:t>
      </w:r>
    </w:p>
    <w:p>
      <w:pPr>
        <w:spacing w:after="160"/>
      </w:pPr>
      <w:r>
        <w:t xml:space="preserve">The platform is designed as multilingual from the outset, not retrofitted later. Fifteen languages are in initial scope, with right-to-left layout support for Hebrew, Arabic, Farsi, and Urdu. Users store a preferred language; notifications, comments, and key documents support translation. This commitment is treated as a first-class architectural requirement and is detailed further in Volumes III and VI.</w:t>
      </w:r>
    </w:p>
    <w:p>
      <w:pPr>
        <w:pStyle w:val="ListParagraph"/>
        <w:numPr>
          <w:ilvl w:val="0"/>
          <w:numId w:val="2"/>
        </w:numPr>
        <w:spacing w:after="60"/>
      </w:pPr>
      <w:r>
        <w:t xml:space="preserve">English</w:t>
      </w:r>
    </w:p>
    <w:p>
      <w:pPr>
        <w:pStyle w:val="ListParagraph"/>
        <w:numPr>
          <w:ilvl w:val="0"/>
          <w:numId w:val="2"/>
        </w:numPr>
        <w:spacing w:after="60"/>
      </w:pPr>
      <w:r>
        <w:t xml:space="preserve">Spanish</w:t>
      </w:r>
    </w:p>
    <w:p>
      <w:pPr>
        <w:pStyle w:val="ListParagraph"/>
        <w:numPr>
          <w:ilvl w:val="0"/>
          <w:numId w:val="2"/>
        </w:numPr>
        <w:spacing w:after="60"/>
      </w:pPr>
      <w:r>
        <w:t xml:space="preserve">Hebrew (RTL)</w:t>
      </w:r>
    </w:p>
    <w:p>
      <w:pPr>
        <w:pStyle w:val="ListParagraph"/>
        <w:numPr>
          <w:ilvl w:val="0"/>
          <w:numId w:val="2"/>
        </w:numPr>
        <w:spacing w:after="60"/>
      </w:pPr>
      <w:r>
        <w:t xml:space="preserve">Arabic (RTL)</w:t>
      </w:r>
    </w:p>
    <w:p>
      <w:pPr>
        <w:pStyle w:val="ListParagraph"/>
        <w:numPr>
          <w:ilvl w:val="0"/>
          <w:numId w:val="2"/>
        </w:numPr>
        <w:spacing w:after="60"/>
      </w:pPr>
      <w:r>
        <w:t xml:space="preserve">Farsi (RTL)</w:t>
      </w:r>
    </w:p>
    <w:p>
      <w:pPr>
        <w:pStyle w:val="ListParagraph"/>
        <w:numPr>
          <w:ilvl w:val="0"/>
          <w:numId w:val="2"/>
        </w:numPr>
        <w:spacing w:after="60"/>
      </w:pPr>
      <w:r>
        <w:t xml:space="preserve">Mandarin</w:t>
      </w:r>
    </w:p>
    <w:p>
      <w:pPr>
        <w:pStyle w:val="ListParagraph"/>
        <w:numPr>
          <w:ilvl w:val="0"/>
          <w:numId w:val="2"/>
        </w:numPr>
        <w:spacing w:after="60"/>
      </w:pPr>
      <w:r>
        <w:t xml:space="preserve">Korean</w:t>
      </w:r>
    </w:p>
    <w:p>
      <w:pPr>
        <w:pStyle w:val="ListParagraph"/>
        <w:numPr>
          <w:ilvl w:val="0"/>
          <w:numId w:val="2"/>
        </w:numPr>
        <w:spacing w:after="60"/>
      </w:pPr>
      <w:r>
        <w:t xml:space="preserve">Vietnamese</w:t>
      </w:r>
    </w:p>
    <w:p>
      <w:pPr>
        <w:pStyle w:val="ListParagraph"/>
        <w:numPr>
          <w:ilvl w:val="0"/>
          <w:numId w:val="2"/>
        </w:numPr>
        <w:spacing w:after="60"/>
      </w:pPr>
      <w:r>
        <w:t xml:space="preserve">Tagalog</w:t>
      </w:r>
    </w:p>
    <w:p>
      <w:pPr>
        <w:pStyle w:val="ListParagraph"/>
        <w:numPr>
          <w:ilvl w:val="0"/>
          <w:numId w:val="2"/>
        </w:numPr>
        <w:spacing w:after="60"/>
      </w:pPr>
      <w:r>
        <w:t xml:space="preserve">Russian</w:t>
      </w:r>
    </w:p>
    <w:p>
      <w:pPr>
        <w:pStyle w:val="ListParagraph"/>
        <w:numPr>
          <w:ilvl w:val="0"/>
          <w:numId w:val="2"/>
        </w:numPr>
        <w:spacing w:after="60"/>
      </w:pPr>
      <w:r>
        <w:t xml:space="preserve">French</w:t>
      </w:r>
    </w:p>
    <w:p>
      <w:pPr>
        <w:pStyle w:val="ListParagraph"/>
        <w:numPr>
          <w:ilvl w:val="0"/>
          <w:numId w:val="2"/>
        </w:numPr>
        <w:spacing w:after="60"/>
      </w:pPr>
      <w:r>
        <w:t xml:space="preserve">Portuguese</w:t>
      </w:r>
    </w:p>
    <w:p>
      <w:pPr>
        <w:pStyle w:val="ListParagraph"/>
        <w:numPr>
          <w:ilvl w:val="0"/>
          <w:numId w:val="2"/>
        </w:numPr>
        <w:spacing w:after="60"/>
      </w:pPr>
      <w:r>
        <w:t xml:space="preserve">Hindi</w:t>
      </w:r>
    </w:p>
    <w:p>
      <w:pPr>
        <w:pStyle w:val="ListParagraph"/>
        <w:numPr>
          <w:ilvl w:val="0"/>
          <w:numId w:val="2"/>
        </w:numPr>
        <w:spacing w:after="60"/>
      </w:pPr>
      <w:r>
        <w:t xml:space="preserve">Punjabi</w:t>
      </w:r>
    </w:p>
    <w:p>
      <w:pPr>
        <w:pStyle w:val="ListParagraph"/>
        <w:numPr>
          <w:ilvl w:val="0"/>
          <w:numId w:val="2"/>
        </w:numPr>
        <w:spacing w:after="60"/>
      </w:pPr>
      <w:r>
        <w:t xml:space="preserve">Urdu (RTL)</w:t>
      </w:r>
    </w:p>
    <w:p>
      <w:pPr>
        <w:pStyle w:val="ListParagraph"/>
        <w:numPr>
          <w:ilvl w:val="0"/>
          <w:numId w:val="2"/>
        </w:numPr>
        <w:spacing w:after="60"/>
      </w:pPr>
      <w:r>
        <w:t xml:space="preserve">Armenian</w:t>
      </w:r>
    </w:p>
    <w:p>
      <w:pPr>
        <w:pStyle w:val="Heading1"/>
        <w:spacing w:after="240" w:before="480"/>
      </w:pPr>
      <w:r>
        <w:rPr>
          <w:color w:val="071B2E"/>
        </w:rPr>
        <w:t xml:space="preserve">Chapter 8 — Technology Stack (Executive Summary)</w:t>
      </w:r>
    </w:p>
    <w:p>
      <w:pPr>
        <w:spacing w:after="160"/>
      </w:pPr>
      <w:r>
        <w:t xml:space="preserve">The platform is built on Next.js, React, and TypeScript, styled with TailwindCSS, and visualized with React Three Fiber, Three.js, and Drei. Supabase provides PostgreSQL, authentication, storage, and realtime services. GitHub and GitHub Actions manage source control and CI/CD, deploying to Vercel, with AWS reserved for future scaling needs (S3, Lambda, CloudFront, SQS). Full architecture, environment strategy, and rationale are defined in Volume III — Architecture.</w:t>
      </w:r>
    </w:p>
    <w:p>
      <w:pPr>
        <w:pStyle w:val="Heading1"/>
        <w:spacing w:after="240" w:before="480"/>
      </w:pPr>
      <w:r>
        <w:rPr>
          <w:color w:val="071B2E"/>
        </w:rPr>
        <w:t xml:space="preserve">Chapter 9 — GOS Ecosystem Integration</w:t>
      </w:r>
    </w:p>
    <w:p>
      <w:pPr>
        <w:spacing w:after="160"/>
      </w:pPr>
      <w:r>
        <w:t xml:space="preserve">Gottlieb Build &amp; Design is a construction-only system. It integrates with the existing GOS Document Generator through a defined API contract: this application sends structured data (estimates, proposals, contracts, change orders, invoices, and more), the Document Generator produces the documents, and this application receives and displays document status. The Document Generator itself is never redesigned or duplicated within this platform. Full integration specification is in Volume IX — API.</w:t>
      </w:r>
    </w:p>
    <w:p>
      <w:pPr>
        <w:pStyle w:val="Heading1"/>
        <w:spacing w:after="240" w:before="480"/>
      </w:pPr>
      <w:r>
        <w:rPr>
          <w:color w:val="071B2E"/>
        </w:rPr>
        <w:t xml:space="preserve">Chapter 10 — Success Criteria</w:t>
      </w:r>
    </w:p>
    <w:p>
      <w:pPr>
        <w:spacing w:after="160"/>
      </w:pPr>
      <w:r>
        <w:t xml:space="preserve">This PRD, and the platform it describes, will be considered successful when the following are true:</w:t>
      </w:r>
    </w:p>
    <w:p>
      <w:pPr>
        <w:pStyle w:val="ListParagraph"/>
        <w:numPr>
          <w:ilvl w:val="0"/>
          <w:numId w:val="2"/>
        </w:numPr>
        <w:spacing w:after="60"/>
      </w:pPr>
      <w:r>
        <w:t xml:space="preserve">Every module listed in Chapter 4 has a complete functional specification before implementation begins.</w:t>
      </w:r>
    </w:p>
    <w:p>
      <w:pPr>
        <w:pStyle w:val="ListParagraph"/>
        <w:numPr>
          <w:ilvl w:val="0"/>
          <w:numId w:val="2"/>
        </w:numPr>
        <w:spacing w:after="60"/>
      </w:pPr>
      <w:r>
        <w:t xml:space="preserve">The design system in Volume II is applied consistently across all portals and roles, with no module feeling visually inconsistent with another.</w:t>
      </w:r>
    </w:p>
    <w:p>
      <w:pPr>
        <w:pStyle w:val="ListParagraph"/>
        <w:numPr>
          <w:ilvl w:val="0"/>
          <w:numId w:val="2"/>
        </w:numPr>
        <w:spacing w:after="60"/>
      </w:pPr>
      <w:r>
        <w:t xml:space="preserve">The permission model in Volume V enforces role-based and project-level access with no gaps, verified against Supabase RLS policies.</w:t>
      </w:r>
    </w:p>
    <w:p>
      <w:pPr>
        <w:pStyle w:val="ListParagraph"/>
        <w:numPr>
          <w:ilvl w:val="0"/>
          <w:numId w:val="2"/>
        </w:numPr>
        <w:spacing w:after="60"/>
      </w:pPr>
      <w:r>
        <w:t xml:space="preserve">The database schema in Volume IV supports every module's data needs without requiring destructive migrations during Phase 1–3 delivery.</w:t>
      </w:r>
    </w:p>
    <w:p>
      <w:pPr>
        <w:pStyle w:val="ListParagraph"/>
        <w:numPr>
          <w:ilvl w:val="0"/>
          <w:numId w:val="2"/>
        </w:numPr>
        <w:spacing w:after="60"/>
      </w:pPr>
      <w:r>
        <w:t xml:space="preserve">The 3D Design Studio renders client-selectable material changes in real time using pre-built GLB assets, with zero custom rendering-engine code.</w:t>
      </w:r>
    </w:p>
    <w:p>
      <w:pPr>
        <w:pStyle w:val="ListParagraph"/>
        <w:numPr>
          <w:ilvl w:val="0"/>
          <w:numId w:val="2"/>
        </w:numPr>
        <w:spacing w:after="60"/>
      </w:pPr>
      <w:r>
        <w:t xml:space="preserve">The GOS Document Generator integration produces every listed document type without duplicating document-authoring logic inside this platform.</w:t>
      </w:r>
    </w:p>
    <w:p>
      <w:pPr>
        <w:pStyle w:val="ListParagraph"/>
        <w:numPr>
          <w:ilvl w:val="0"/>
          <w:numId w:val="2"/>
        </w:numPr>
        <w:spacing w:after="60"/>
      </w:pPr>
      <w:r>
        <w:t xml:space="preserve">Medical Administration concerns remain fully absent from the codebase, database schema, and UI at every phase.</w:t>
      </w:r>
    </w:p>
    <w:p>
      <w:pPr>
        <w:pStyle w:val="Heading1"/>
        <w:spacing w:after="240" w:before="480"/>
      </w:pPr>
      <w:r>
        <w:rPr>
          <w:color w:val="071B2E"/>
        </w:rPr>
        <w:t xml:space="preserve">Chapter 11 — Document Governance</w:t>
      </w:r>
    </w:p>
    <w:p>
      <w:pPr>
        <w:spacing w:after="160"/>
      </w:pPr>
      <w:r>
        <w:t xml:space="preserve">This PRD is versioned alongside the codebase in the /docs directory of the gottlieb-build-design repository. Material changes to scope, architecture, or design philosophy require an update to the relevant volume and a changelog entry. Individual build prompts derived from this PRD should cite the specific volume and chapter they implement.</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Next volume: 02-Brand — Visual Identity &amp; Design System, defining the complete color system, typography, and component philosophy that Chapter 5 references.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B2F3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C9CDD2"/>
        <w:sz w:val="16"/>
        <w:szCs w:val="16"/>
      </w:rPr>
      <w:t xml:space="preserve">GOTTLIEB BUILD &amp; DESIGN · VOLUME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rFonts w:ascii="Calibri" w:cs="Calibri" w:eastAsia="Calibri" w:hAnsi="Calibri"/>
      <w:b/>
      <w:bCs/>
      <w:color w:val="071B2E"/>
      <w:sz w:val="34"/>
      <w:szCs w:val="34"/>
    </w:rPr>
  </w:style>
  <w:style w:type="paragraph" w:styleId="Heading2">
    <w:name w:val="Heading 2"/>
    <w:basedOn w:val="Normal"/>
    <w:next w:val="Normal"/>
    <w:qFormat/>
    <w:pPr>
      <w:spacing w:after="180" w:before="360"/>
    </w:pPr>
    <w:rPr>
      <w:rFonts w:ascii="Calibri" w:cs="Calibri" w:eastAsia="Calibri" w:hAnsi="Calibri"/>
      <w:b/>
      <w:bCs/>
      <w:color w:val="0E5AA7"/>
      <w:sz w:val="27"/>
      <w:szCs w:val="27"/>
    </w:rPr>
  </w:style>
  <w:style w:type="paragraph" w:styleId="Heading3">
    <w:name w:val="Heading 3"/>
    <w:basedOn w:val="Normal"/>
    <w:next w:val="Normal"/>
    <w:qFormat/>
    <w:pPr>
      <w:spacing w:after="120" w:before="240"/>
    </w:pPr>
    <w:rPr>
      <w:rFonts w:ascii="Calibri" w:cs="Calibri" w:eastAsia="Calibri" w:hAnsi="Calibri"/>
      <w:b/>
      <w:bCs/>
      <w:color w:val="2B2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2026-08-04T17:07:42.889Z</dcterms:created>
  <dcterms:modified xsi:type="dcterms:W3CDTF">2026-08-04T17:07:42.901Z</dcterms:modified>
</cp:coreProperties>
</file>

<file path=docProps/custom.xml><?xml version="1.0" encoding="utf-8"?>
<Properties xmlns="http://schemas.openxmlformats.org/officeDocument/2006/custom-properties" xmlns:vt="http://schemas.openxmlformats.org/officeDocument/2006/docPropsVTypes"/>
</file>