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E5AA7"/>
          <w:sz w:val="26"/>
          <w:szCs w:val="26"/>
        </w:rPr>
        <w:t xml:space="preserve">GOTTLIEB BUILD &amp; DESIGN</w:t>
      </w:r>
    </w:p>
    <w:p>
      <w:pPr>
        <w:spacing w:after="400" w:before="100"/>
        <w:jc w:val="center"/>
      </w:pPr>
      <w:r>
        <w:rPr>
          <w:color w:val="2B2F36"/>
          <w:sz w:val="20"/>
          <w:szCs w:val="20"/>
        </w:rPr>
        <w:t xml:space="preserve">CONSTRUCTION OPERATING SYSTEM</w:t>
      </w:r>
    </w:p>
    <w:p>
      <w:pPr>
        <w:spacing w:before="800"/>
        <w:jc w:val="center"/>
      </w:pPr>
      <w:r>
        <w:rPr>
          <w:b/>
          <w:bCs/>
          <w:color w:val="071B2E"/>
          <w:sz w:val="56"/>
          <w:szCs w:val="56"/>
        </w:rPr>
        <w:t xml:space="preserve">VOLUME II</w:t>
      </w:r>
    </w:p>
    <w:p>
      <w:pPr>
        <w:spacing w:after="800" w:before="200"/>
        <w:jc w:val="center"/>
      </w:pPr>
      <w:r>
        <w:rPr>
          <w:i/>
          <w:iCs/>
          <w:color w:val="0E5AA7"/>
          <w:sz w:val="24"/>
          <w:szCs w:val="24"/>
        </w:rPr>
        <w:t xml:space="preserve">Brand Identity &amp; Design System</w:t>
      </w:r>
    </w:p>
    <w:p>
      <w:pPr>
        <w:spacing w:before="2400"/>
        <w:jc w:val="center"/>
      </w:pPr>
      <w:r>
        <w:rPr>
          <w:color w:val="2B2F36"/>
          <w:sz w:val="20"/>
          <w:szCs w:val="20"/>
        </w:rPr>
        <w:t xml:space="preserve">CLAUDE MASTER PROMPT 001 · Document 02-Brand</w:t>
      </w:r>
    </w:p>
    <w:p>
      <w:pPr>
        <w:spacing w:before="100"/>
        <w:jc w:val="center"/>
      </w:pPr>
      <w:r>
        <w:rPr>
          <w:color w:val="2B2F36"/>
          <w:sz w:val="20"/>
          <w:szCs w:val="20"/>
        </w:rPr>
        <w:t xml:space="preserve">Master Product Requirements Document — Volume II</w:t>
      </w:r>
    </w:p>
    <w:p>
      <w:pPr>
        <w:spacing w:before="100"/>
        <w:jc w:val="center"/>
      </w:pPr>
      <w:r>
        <w:rPr>
          <w:b/>
          <w:bCs/>
          <w:color w:val="C9CDD2"/>
          <w:sz w:val="18"/>
          <w:szCs w:val="18"/>
        </w:rPr>
        <w:t xml:space="preserve">Status: Draft for Approval</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color w:val="071B2E"/>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color w:val="071B2E"/>
        </w:rPr>
        <w:t xml:space="preserve">Chapter 1 — Design Philosophy</w:t>
      </w:r>
    </w:p>
    <w:p>
      <w:pPr>
        <w:spacing w:after="160"/>
      </w:pPr>
      <w:r>
        <w:t xml:space="preserve">Gottlieb Build &amp; Design must feel like a premium, considered product — the software equivalent of the luxury builds it manages. The reference points for tone and craft are Apple, Bentley, Porsche, Notion, Linear, and Foster + Partners: minimal, sophisticated, restrained, and confident. The interface must never feel cluttered, and must never resemble category-standard construction software such as Buildertrend, Procore, Monday, or Jobber.</w:t>
      </w:r>
    </w:p>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Design test: if a screen could be mistaken for a generic SaaS dashboard, it has failed the brand standard. Every screen should read as intentionally Gottlieb.</w:t>
            </w:r>
          </w:p>
        </w:tc>
      </w:tr>
    </w:tbl>
    <w:p>
      <w:pPr>
        <w:pStyle w:val="Heading2"/>
        <w:spacing w:after="180" w:before="360"/>
      </w:pPr>
      <w:r>
        <w:rPr>
          <w:color w:val="0E5AA7"/>
        </w:rPr>
        <w:t xml:space="preserve">1.1 Design Principles</w:t>
      </w:r>
    </w:p>
    <w:p>
      <w:pPr>
        <w:pStyle w:val="ListParagraph"/>
        <w:numPr>
          <w:ilvl w:val="0"/>
          <w:numId w:val="2"/>
        </w:numPr>
        <w:spacing w:after="60"/>
      </w:pPr>
      <w:r>
        <w:t xml:space="preserve">Minimal first — remove before you add. Empty space is a design choice, not a gap to fill.</w:t>
      </w:r>
    </w:p>
    <w:p>
      <w:pPr>
        <w:pStyle w:val="ListParagraph"/>
        <w:numPr>
          <w:ilvl w:val="0"/>
          <w:numId w:val="2"/>
        </w:numPr>
        <w:spacing w:after="60"/>
      </w:pPr>
      <w:r>
        <w:t xml:space="preserve">Quiet confidence — the UI should never shout. Color, weight, and motion are used sparingly and with purpose.</w:t>
      </w:r>
    </w:p>
    <w:p>
      <w:pPr>
        <w:pStyle w:val="ListParagraph"/>
        <w:numPr>
          <w:ilvl w:val="0"/>
          <w:numId w:val="2"/>
        </w:numPr>
        <w:spacing w:after="60"/>
      </w:pPr>
      <w:r>
        <w:t xml:space="preserve">Material honesty — surfaces, shadows, and depth should feel like considered architecture, not skeuomorphic decoration.</w:t>
      </w:r>
    </w:p>
    <w:p>
      <w:pPr>
        <w:pStyle w:val="ListParagraph"/>
        <w:numPr>
          <w:ilvl w:val="0"/>
          <w:numId w:val="2"/>
        </w:numPr>
        <w:spacing w:after="60"/>
      </w:pPr>
      <w:r>
        <w:t xml:space="preserve">Consistency over novelty — every portal (Client, Vendor, Subcontractor, internal) shares one visual language.</w:t>
      </w:r>
    </w:p>
    <w:p>
      <w:pPr>
        <w:pStyle w:val="ListParagraph"/>
        <w:numPr>
          <w:ilvl w:val="0"/>
          <w:numId w:val="2"/>
        </w:numPr>
        <w:spacing w:after="60"/>
      </w:pPr>
      <w:r>
        <w:t xml:space="preserve">Legibility above all — construction users work outdoors, on job sites, on mobile. Contrast and touch targets are non-negotiable.</w:t>
      </w:r>
    </w:p>
    <w:p>
      <w:pPr>
        <w:pStyle w:val="Heading1"/>
        <w:spacing w:after="240" w:before="480"/>
      </w:pPr>
      <w:r>
        <w:rPr>
          <w:color w:val="071B2E"/>
        </w:rPr>
        <w:t xml:space="preserve">Chapter 2 — Color System</w:t>
      </w:r>
    </w:p>
    <w:p>
      <w:pPr>
        <w:spacing w:after="160"/>
      </w:pPr>
      <w:r>
        <w:t xml:space="preserve">The palette is deliberately restrained: five core colors, extended into tints and shades for state and hierarchy, never expanded with arbitrary new hues.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4000"/>
      </w:tblGrid>
      <w:tr>
        <w:trPr>
          <w:tblHeader/>
        </w:trPr>
        <w:tc>
          <w:tcPr>
            <w:tcW w:type="pct" w:w="25%"/>
            <w:shd w:fill="071B2E" w:val="clear"/>
            <w:tcMar>
              <w:top w:type="dxa" w:w="100"/>
              <w:left w:type="dxa" w:w="120"/>
              <w:bottom w:type="dxa" w:w="100"/>
              <w:right w:type="dxa" w:w="120"/>
            </w:tcMar>
          </w:tcPr>
          <w:p>
            <w:r>
              <w:rPr>
                <w:b/>
                <w:bCs/>
                <w:color w:val="FFFFFF"/>
                <w:sz w:val="20"/>
                <w:szCs w:val="20"/>
              </w:rPr>
              <w:t xml:space="preserve">Swatch</w:t>
            </w:r>
          </w:p>
        </w:tc>
        <w:tc>
          <w:tcPr>
            <w:tcW w:type="pct" w:w="25%"/>
            <w:shd w:fill="071B2E" w:val="clear"/>
            <w:tcMar>
              <w:top w:type="dxa" w:w="100"/>
              <w:left w:type="dxa" w:w="120"/>
              <w:bottom w:type="dxa" w:w="100"/>
              <w:right w:type="dxa" w:w="120"/>
            </w:tcMar>
          </w:tcPr>
          <w:p>
            <w:r>
              <w:rPr>
                <w:b/>
                <w:bCs/>
                <w:color w:val="FFFFFF"/>
                <w:sz w:val="20"/>
                <w:szCs w:val="20"/>
              </w:rPr>
              <w:t xml:space="preserve">Name</w:t>
            </w:r>
          </w:p>
        </w:tc>
        <w:tc>
          <w:tcPr>
            <w:tcW w:type="pct" w:w="25%"/>
            <w:shd w:fill="071B2E" w:val="clear"/>
            <w:tcMar>
              <w:top w:type="dxa" w:w="100"/>
              <w:left w:type="dxa" w:w="120"/>
              <w:bottom w:type="dxa" w:w="100"/>
              <w:right w:type="dxa" w:w="120"/>
            </w:tcMar>
          </w:tcPr>
          <w:p>
            <w:r>
              <w:rPr>
                <w:b/>
                <w:bCs/>
                <w:color w:val="FFFFFF"/>
                <w:sz w:val="20"/>
                <w:szCs w:val="20"/>
              </w:rPr>
              <w:t xml:space="preserve">Hex</w:t>
            </w:r>
          </w:p>
        </w:tc>
        <w:tc>
          <w:tcPr>
            <w:tcW w:type="pct" w:w="25%"/>
            <w:shd w:fill="071B2E" w:val="clear"/>
            <w:tcMar>
              <w:top w:type="dxa" w:w="100"/>
              <w:left w:type="dxa" w:w="120"/>
              <w:bottom w:type="dxa" w:w="100"/>
              <w:right w:type="dxa" w:w="120"/>
            </w:tcMar>
          </w:tcPr>
          <w:p>
            <w:r>
              <w:rPr>
                <w:b/>
                <w:bCs/>
                <w:color w:val="FFFFFF"/>
                <w:sz w:val="20"/>
                <w:szCs w:val="20"/>
              </w:rPr>
              <w:t xml:space="preserve">Primary Use</w:t>
            </w:r>
          </w:p>
        </w:tc>
      </w:tr>
      <w:tr>
        <w:tc>
          <w:tcPr>
            <w:tcW w:type="pct" w:w="15%"/>
            <w:shd w:fill="0E5AA7" w:val="clear"/>
            <w:tcMar>
              <w:top w:type="dxa" w:w="200"/>
              <w:left w:type="dxa" w:w="120"/>
              <w:bottom w:type="dxa" w:w="200"/>
              <w:right w:type="dxa" w:w="120"/>
            </w:tcMar>
          </w:tcPr>
          <w:p>
            <w:r>
              <w:rPr>
                <w:color w:val="FFFFFF"/>
              </w:rPr>
              <w:t xml:space="preserve"> </w:t>
            </w:r>
          </w:p>
        </w:tc>
        <w:tc>
          <w:tcPr>
            <w:tcW w:type="pct" w:w="25%"/>
            <w:tcMar>
              <w:top w:type="dxa" w:w="100"/>
              <w:left w:type="dxa" w:w="120"/>
              <w:bottom w:type="dxa" w:w="100"/>
              <w:right w:type="dxa" w:w="120"/>
            </w:tcMar>
          </w:tcPr>
          <w:p>
            <w:r>
              <w:rPr>
                <w:b/>
                <w:bCs/>
              </w:rPr>
              <w:t xml:space="preserve">Primary Blue</w:t>
            </w:r>
          </w:p>
        </w:tc>
        <w:tc>
          <w:tcPr>
            <w:tcW w:type="pct" w:w="20%"/>
            <w:tcMar>
              <w:top w:type="dxa" w:w="100"/>
              <w:left w:type="dxa" w:w="120"/>
              <w:bottom w:type="dxa" w:w="100"/>
              <w:right w:type="dxa" w:w="120"/>
            </w:tcMar>
          </w:tcPr>
          <w:p>
            <w:r>
              <w:t xml:space="preserve">#0E5AA7</w:t>
            </w:r>
          </w:p>
        </w:tc>
        <w:tc>
          <w:tcPr>
            <w:tcW w:type="pct" w:w="40%"/>
            <w:tcMar>
              <w:top w:type="dxa" w:w="100"/>
              <w:left w:type="dxa" w:w="120"/>
              <w:bottom w:type="dxa" w:w="100"/>
              <w:right w:type="dxa" w:w="120"/>
            </w:tcMar>
          </w:tcPr>
          <w:p>
            <w:r>
              <w:rPr>
                <w:sz w:val="20"/>
                <w:szCs w:val="20"/>
              </w:rPr>
              <w:t xml:space="preserve">Primary actions, links, active states, brand accents</w:t>
            </w:r>
          </w:p>
        </w:tc>
      </w:tr>
      <w:tr>
        <w:tc>
          <w:tcPr>
            <w:tcW w:type="pct" w:w="15%"/>
            <w:shd w:fill="071B2E" w:val="clear"/>
            <w:tcMar>
              <w:top w:type="dxa" w:w="200"/>
              <w:left w:type="dxa" w:w="120"/>
              <w:bottom w:type="dxa" w:w="200"/>
              <w:right w:type="dxa" w:w="120"/>
            </w:tcMar>
          </w:tcPr>
          <w:p>
            <w:r>
              <w:rPr>
                <w:color w:val="FFFFFF"/>
              </w:rPr>
              <w:t xml:space="preserve"> </w:t>
            </w:r>
          </w:p>
        </w:tc>
        <w:tc>
          <w:tcPr>
            <w:tcW w:type="pct" w:w="25%"/>
            <w:tcMar>
              <w:top w:type="dxa" w:w="100"/>
              <w:left w:type="dxa" w:w="120"/>
              <w:bottom w:type="dxa" w:w="100"/>
              <w:right w:type="dxa" w:w="120"/>
            </w:tcMar>
          </w:tcPr>
          <w:p>
            <w:r>
              <w:rPr>
                <w:b/>
                <w:bCs/>
              </w:rPr>
              <w:t xml:space="preserve">Deep Navy</w:t>
            </w:r>
          </w:p>
        </w:tc>
        <w:tc>
          <w:tcPr>
            <w:tcW w:type="pct" w:w="20%"/>
            <w:tcMar>
              <w:top w:type="dxa" w:w="100"/>
              <w:left w:type="dxa" w:w="120"/>
              <w:bottom w:type="dxa" w:w="100"/>
              <w:right w:type="dxa" w:w="120"/>
            </w:tcMar>
          </w:tcPr>
          <w:p>
            <w:r>
              <w:t xml:space="preserve">#071B2E</w:t>
            </w:r>
          </w:p>
        </w:tc>
        <w:tc>
          <w:tcPr>
            <w:tcW w:type="pct" w:w="40%"/>
            <w:tcMar>
              <w:top w:type="dxa" w:w="100"/>
              <w:left w:type="dxa" w:w="120"/>
              <w:bottom w:type="dxa" w:w="100"/>
              <w:right w:type="dxa" w:w="120"/>
            </w:tcMar>
          </w:tcPr>
          <w:p>
            <w:r>
              <w:rPr>
                <w:sz w:val="20"/>
                <w:szCs w:val="20"/>
              </w:rPr>
              <w:t xml:space="preserve">Headers, dark surfaces, high-emphasis text</w:t>
            </w:r>
          </w:p>
        </w:tc>
      </w:tr>
      <w:tr>
        <w:tc>
          <w:tcPr>
            <w:tcW w:type="pct" w:w="15%"/>
            <w:shd w:fill="C9CDD2" w:val="clear"/>
            <w:tcMar>
              <w:top w:type="dxa" w:w="200"/>
              <w:left w:type="dxa" w:w="120"/>
              <w:bottom w:type="dxa" w:w="200"/>
              <w:right w:type="dxa" w:w="120"/>
            </w:tcMar>
          </w:tcPr>
          <w:p>
            <w:r>
              <w:rPr>
                <w:color w:val="1A1A1A"/>
              </w:rPr>
              <w:t xml:space="preserve"> </w:t>
            </w:r>
          </w:p>
        </w:tc>
        <w:tc>
          <w:tcPr>
            <w:tcW w:type="pct" w:w="25%"/>
            <w:tcMar>
              <w:top w:type="dxa" w:w="100"/>
              <w:left w:type="dxa" w:w="120"/>
              <w:bottom w:type="dxa" w:w="100"/>
              <w:right w:type="dxa" w:w="120"/>
            </w:tcMar>
          </w:tcPr>
          <w:p>
            <w:r>
              <w:rPr>
                <w:b/>
                <w:bCs/>
              </w:rPr>
              <w:t xml:space="preserve">Silver</w:t>
            </w:r>
          </w:p>
        </w:tc>
        <w:tc>
          <w:tcPr>
            <w:tcW w:type="pct" w:w="20%"/>
            <w:tcMar>
              <w:top w:type="dxa" w:w="100"/>
              <w:left w:type="dxa" w:w="120"/>
              <w:bottom w:type="dxa" w:w="100"/>
              <w:right w:type="dxa" w:w="120"/>
            </w:tcMar>
          </w:tcPr>
          <w:p>
            <w:r>
              <w:t xml:space="preserve">#C9CDD2</w:t>
            </w:r>
          </w:p>
        </w:tc>
        <w:tc>
          <w:tcPr>
            <w:tcW w:type="pct" w:w="40%"/>
            <w:tcMar>
              <w:top w:type="dxa" w:w="100"/>
              <w:left w:type="dxa" w:w="120"/>
              <w:bottom w:type="dxa" w:w="100"/>
              <w:right w:type="dxa" w:w="120"/>
            </w:tcMar>
          </w:tcPr>
          <w:p>
            <w:r>
              <w:rPr>
                <w:sz w:val="20"/>
                <w:szCs w:val="20"/>
              </w:rPr>
              <w:t xml:space="preserve">Borders, dividers, disabled states, secondary text</w:t>
            </w:r>
          </w:p>
        </w:tc>
      </w:tr>
      <w:tr>
        <w:tc>
          <w:tcPr>
            <w:tcW w:type="pct" w:w="15%"/>
            <w:shd w:fill="2B2F36" w:val="clear"/>
            <w:tcMar>
              <w:top w:type="dxa" w:w="200"/>
              <w:left w:type="dxa" w:w="120"/>
              <w:bottom w:type="dxa" w:w="200"/>
              <w:right w:type="dxa" w:w="120"/>
            </w:tcMar>
          </w:tcPr>
          <w:p>
            <w:r>
              <w:rPr>
                <w:color w:val="FFFFFF"/>
              </w:rPr>
              <w:t xml:space="preserve"> </w:t>
            </w:r>
          </w:p>
        </w:tc>
        <w:tc>
          <w:tcPr>
            <w:tcW w:type="pct" w:w="25%"/>
            <w:tcMar>
              <w:top w:type="dxa" w:w="100"/>
              <w:left w:type="dxa" w:w="120"/>
              <w:bottom w:type="dxa" w:w="100"/>
              <w:right w:type="dxa" w:w="120"/>
            </w:tcMar>
          </w:tcPr>
          <w:p>
            <w:r>
              <w:rPr>
                <w:b/>
                <w:bCs/>
              </w:rPr>
              <w:t xml:space="preserve">Charcoal</w:t>
            </w:r>
          </w:p>
        </w:tc>
        <w:tc>
          <w:tcPr>
            <w:tcW w:type="pct" w:w="20%"/>
            <w:tcMar>
              <w:top w:type="dxa" w:w="100"/>
              <w:left w:type="dxa" w:w="120"/>
              <w:bottom w:type="dxa" w:w="100"/>
              <w:right w:type="dxa" w:w="120"/>
            </w:tcMar>
          </w:tcPr>
          <w:p>
            <w:r>
              <w:t xml:space="preserve">#2B2F36</w:t>
            </w:r>
          </w:p>
        </w:tc>
        <w:tc>
          <w:tcPr>
            <w:tcW w:type="pct" w:w="40%"/>
            <w:tcMar>
              <w:top w:type="dxa" w:w="100"/>
              <w:left w:type="dxa" w:w="120"/>
              <w:bottom w:type="dxa" w:w="100"/>
              <w:right w:type="dxa" w:w="120"/>
            </w:tcMar>
          </w:tcPr>
          <w:p>
            <w:r>
              <w:rPr>
                <w:sz w:val="20"/>
                <w:szCs w:val="20"/>
              </w:rPr>
              <w:t xml:space="preserve">Body text, icons, secondary headings</w:t>
            </w:r>
          </w:p>
        </w:tc>
      </w:tr>
      <w:tr>
        <w:tc>
          <w:tcPr>
            <w:tcW w:type="pct" w:w="15%"/>
            <w:shd w:fill="FFFFFF" w:val="clear"/>
            <w:tcMar>
              <w:top w:type="dxa" w:w="200"/>
              <w:left w:type="dxa" w:w="120"/>
              <w:bottom w:type="dxa" w:w="200"/>
              <w:right w:type="dxa" w:w="120"/>
            </w:tcMar>
          </w:tcPr>
          <w:p>
            <w:r>
              <w:rPr>
                <w:color w:val="1A1A1A"/>
              </w:rPr>
              <w:t xml:space="preserve"> </w:t>
            </w:r>
          </w:p>
        </w:tc>
        <w:tc>
          <w:tcPr>
            <w:tcW w:type="pct" w:w="25%"/>
            <w:tcMar>
              <w:top w:type="dxa" w:w="100"/>
              <w:left w:type="dxa" w:w="120"/>
              <w:bottom w:type="dxa" w:w="100"/>
              <w:right w:type="dxa" w:w="120"/>
            </w:tcMar>
          </w:tcPr>
          <w:p>
            <w:r>
              <w:rPr>
                <w:b/>
                <w:bCs/>
              </w:rPr>
              <w:t xml:space="preserve">White</w:t>
            </w:r>
          </w:p>
        </w:tc>
        <w:tc>
          <w:tcPr>
            <w:tcW w:type="pct" w:w="20%"/>
            <w:tcMar>
              <w:top w:type="dxa" w:w="100"/>
              <w:left w:type="dxa" w:w="120"/>
              <w:bottom w:type="dxa" w:w="100"/>
              <w:right w:type="dxa" w:w="120"/>
            </w:tcMar>
          </w:tcPr>
          <w:p>
            <w:r>
              <w:t xml:space="preserve">#FFFFFF</w:t>
            </w:r>
          </w:p>
        </w:tc>
        <w:tc>
          <w:tcPr>
            <w:tcW w:type="pct" w:w="40%"/>
            <w:tcMar>
              <w:top w:type="dxa" w:w="100"/>
              <w:left w:type="dxa" w:w="120"/>
              <w:bottom w:type="dxa" w:w="100"/>
              <w:right w:type="dxa" w:w="120"/>
            </w:tcMar>
          </w:tcPr>
          <w:p>
            <w:r>
              <w:rPr>
                <w:sz w:val="20"/>
                <w:szCs w:val="20"/>
              </w:rPr>
              <w:t xml:space="preserve">Primary surface / background, card fills</w:t>
            </w:r>
          </w:p>
        </w:tc>
      </w:tr>
    </w:tbl>
    <w:p>
      <w:pPr>
        <w:spacing w:after="160"/>
      </w:pPr>
      <w:r>
        <w:t xml:space="preserve"/>
      </w:r>
    </w:p>
    <w:p>
      <w:pPr>
        <w:pStyle w:val="Heading2"/>
        <w:spacing w:after="180" w:before="360"/>
      </w:pPr>
      <w:r>
        <w:rPr>
          <w:color w:val="0E5AA7"/>
        </w:rPr>
        <w:t xml:space="preserve">2.1 Extended Palette (Tints &amp; Shades)</w:t>
      </w:r>
    </w:p>
    <w:p>
      <w:pPr>
        <w:spacing w:after="160"/>
      </w:pPr>
      <w:r>
        <w:t xml:space="preserve">Each core color is extended programmatically (10–90% tint/shade steps) to build hover, active, disabled, and surface states in the Tailwind config — never hand-picked ad hoc. Primary Blue and Deep Navy generate the interactive-state ramp; Silver and Charcoal generate the neutral/surface ramp.</w:t>
      </w:r>
    </w:p>
    <w:p>
      <w:pPr>
        <w:pStyle w:val="Heading2"/>
        <w:spacing w:after="180" w:before="360"/>
      </w:pPr>
      <w:r>
        <w:rPr>
          <w:color w:val="0E5AA7"/>
        </w:rPr>
        <w:t xml:space="preserve">2.2 Semantic Color Mapping</w:t>
      </w:r>
    </w:p>
    <w:p>
      <w:pPr>
        <w:pStyle w:val="ListParagraph"/>
        <w:numPr>
          <w:ilvl w:val="0"/>
          <w:numId w:val="2"/>
        </w:numPr>
        <w:spacing w:after="60"/>
      </w:pPr>
      <w:r>
        <w:t xml:space="preserve">Success — a controlled green, used only for confirmations, approvals, and completed milestones.</w:t>
      </w:r>
    </w:p>
    <w:p>
      <w:pPr>
        <w:pStyle w:val="ListParagraph"/>
        <w:numPr>
          <w:ilvl w:val="0"/>
          <w:numId w:val="2"/>
        </w:numPr>
        <w:spacing w:after="60"/>
      </w:pPr>
      <w:r>
        <w:t xml:space="preserve">Warning — amber, reserved for pending approvals, expiring documents, and schedule risk.</w:t>
      </w:r>
    </w:p>
    <w:p>
      <w:pPr>
        <w:pStyle w:val="ListParagraph"/>
        <w:numPr>
          <w:ilvl w:val="0"/>
          <w:numId w:val="2"/>
        </w:numPr>
        <w:spacing w:after="60"/>
      </w:pPr>
      <w:r>
        <w:t xml:space="preserve">Danger — a restrained red, reserved for destructive actions, rejected change orders, and safety flags.</w:t>
      </w:r>
    </w:p>
    <w:p>
      <w:pPr>
        <w:pStyle w:val="ListParagraph"/>
        <w:numPr>
          <w:ilvl w:val="0"/>
          <w:numId w:val="2"/>
        </w:numPr>
        <w:spacing w:after="60"/>
      </w:pPr>
      <w:r>
        <w:t xml:space="preserve">Info — Primary Blue at reduced opacity, used for informational banners and tooltips.</w:t>
      </w:r>
    </w:p>
    <w:p>
      <w:pPr>
        <w:spacing w:after="160"/>
      </w:pPr>
      <w:r>
        <w:t xml:space="preserve">Semantic colors are functional, not brand colors, and must never dominate a screen the way Primary Blue or Deep Navy do.</w:t>
      </w:r>
    </w:p>
    <w:p>
      <w:pPr>
        <w:pStyle w:val="Heading1"/>
        <w:spacing w:after="240" w:before="480"/>
      </w:pPr>
      <w:r>
        <w:rPr>
          <w:color w:val="071B2E"/>
        </w:rPr>
        <w:t xml:space="preserve">Chapter 3 — Typography</w:t>
      </w:r>
    </w:p>
    <w:p>
      <w:pPr>
        <w:spacing w:after="160"/>
      </w:pPr>
      <w:r>
        <w:t xml:space="preserve">A single, modern grotesque typeface family drives the entire system (implementation detail — e.g. Inter or a licensed equivalent — is finalized in Volume III alongside the frontend stack). Hierarchy is built through size and weight, not through introducing additional typefaces.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800"/>
      </w:tblGrid>
      <w:tr>
        <w:trPr>
          <w:tblHeader/>
        </w:trPr>
        <w:tc>
          <w:tcPr>
            <w:shd w:fill="071B2E" w:val="clear"/>
            <w:tcMar>
              <w:top w:type="dxa" w:w="100"/>
              <w:left w:type="dxa" w:w="120"/>
              <w:bottom w:type="dxa" w:w="100"/>
              <w:right w:type="dxa" w:w="120"/>
            </w:tcMar>
          </w:tcPr>
          <w:p>
            <w:r>
              <w:rPr>
                <w:b/>
                <w:bCs/>
                <w:color w:val="FFFFFF"/>
                <w:sz w:val="20"/>
                <w:szCs w:val="20"/>
              </w:rPr>
              <w:t xml:space="preserve">Role</w:t>
            </w:r>
          </w:p>
        </w:tc>
        <w:tc>
          <w:tcPr>
            <w:shd w:fill="071B2E" w:val="clear"/>
            <w:tcMar>
              <w:top w:type="dxa" w:w="100"/>
              <w:left w:type="dxa" w:w="120"/>
              <w:bottom w:type="dxa" w:w="100"/>
              <w:right w:type="dxa" w:w="120"/>
            </w:tcMar>
          </w:tcPr>
          <w:p>
            <w:r>
              <w:rPr>
                <w:b/>
                <w:bCs/>
                <w:color w:val="FFFFFF"/>
                <w:sz w:val="20"/>
                <w:szCs w:val="20"/>
              </w:rPr>
              <w:t xml:space="preserve">Size</w:t>
            </w:r>
          </w:p>
        </w:tc>
        <w:tc>
          <w:tcPr>
            <w:shd w:fill="071B2E" w:val="clear"/>
            <w:tcMar>
              <w:top w:type="dxa" w:w="100"/>
              <w:left w:type="dxa" w:w="120"/>
              <w:bottom w:type="dxa" w:w="100"/>
              <w:right w:type="dxa" w:w="120"/>
            </w:tcMar>
          </w:tcPr>
          <w:p>
            <w:r>
              <w:rPr>
                <w:b/>
                <w:bCs/>
                <w:color w:val="FFFFFF"/>
                <w:sz w:val="20"/>
                <w:szCs w:val="20"/>
              </w:rPr>
              <w:t xml:space="preserve">Weight</w:t>
            </w:r>
          </w:p>
        </w:tc>
        <w:tc>
          <w:tcPr>
            <w:shd w:fill="071B2E" w:val="clear"/>
            <w:tcMar>
              <w:top w:type="dxa" w:w="100"/>
              <w:left w:type="dxa" w:w="120"/>
              <w:bottom w:type="dxa" w:w="100"/>
              <w:right w:type="dxa" w:w="120"/>
            </w:tcMar>
          </w:tcPr>
          <w:p>
            <w:r>
              <w:rPr>
                <w:b/>
                <w:bCs/>
                <w:color w:val="FFFFFF"/>
                <w:sz w:val="20"/>
                <w:szCs w:val="20"/>
              </w:rPr>
              <w:t xml:space="preserve">Usage</w:t>
            </w:r>
          </w:p>
        </w:tc>
      </w:tr>
      <w:tr>
        <w:tc>
          <w:tcPr>
            <w:tcMar>
              <w:top w:type="dxa" w:w="100"/>
              <w:left w:type="dxa" w:w="120"/>
              <w:bottom w:type="dxa" w:w="100"/>
              <w:right w:type="dxa" w:w="120"/>
            </w:tcMar>
          </w:tcPr>
          <w:p>
            <w:r>
              <w:rPr>
                <w:b/>
                <w:bCs/>
                <w:sz w:val="20"/>
                <w:szCs w:val="20"/>
              </w:rPr>
              <w:t xml:space="preserve">Display</w:t>
            </w:r>
          </w:p>
        </w:tc>
        <w:tc>
          <w:tcPr>
            <w:tcMar>
              <w:top w:type="dxa" w:w="100"/>
              <w:left w:type="dxa" w:w="120"/>
              <w:bottom w:type="dxa" w:w="100"/>
              <w:right w:type="dxa" w:w="120"/>
            </w:tcMar>
          </w:tcPr>
          <w:p>
            <w:r>
              <w:rPr>
                <w:b w:val="false"/>
                <w:bCs w:val="false"/>
                <w:sz w:val="20"/>
                <w:szCs w:val="20"/>
              </w:rPr>
              <w:t xml:space="preserve">56 / 3.5rem</w:t>
            </w:r>
          </w:p>
        </w:tc>
        <w:tc>
          <w:tcPr>
            <w:tcMar>
              <w:top w:type="dxa" w:w="100"/>
              <w:left w:type="dxa" w:w="120"/>
              <w:bottom w:type="dxa" w:w="100"/>
              <w:right w:type="dxa" w:w="120"/>
            </w:tcMar>
          </w:tcPr>
          <w:p>
            <w:r>
              <w:rPr>
                <w:b w:val="false"/>
                <w:bCs w:val="false"/>
                <w:sz w:val="20"/>
                <w:szCs w:val="20"/>
              </w:rPr>
              <w:t xml:space="preserve">Bold</w:t>
            </w:r>
          </w:p>
        </w:tc>
        <w:tc>
          <w:tcPr>
            <w:tcMar>
              <w:top w:type="dxa" w:w="100"/>
              <w:left w:type="dxa" w:w="120"/>
              <w:bottom w:type="dxa" w:w="100"/>
              <w:right w:type="dxa" w:w="120"/>
            </w:tcMar>
          </w:tcPr>
          <w:p>
            <w:r>
              <w:rPr>
                <w:b w:val="false"/>
                <w:bCs w:val="false"/>
                <w:sz w:val="20"/>
                <w:szCs w:val="20"/>
              </w:rPr>
              <w:t xml:space="preserve">Title pages, hero moments only</w:t>
            </w:r>
          </w:p>
        </w:tc>
      </w:tr>
      <w:tr>
        <w:tc>
          <w:tcPr>
            <w:tcMar>
              <w:top w:type="dxa" w:w="100"/>
              <w:left w:type="dxa" w:w="120"/>
              <w:bottom w:type="dxa" w:w="100"/>
              <w:right w:type="dxa" w:w="120"/>
            </w:tcMar>
          </w:tcPr>
          <w:p>
            <w:r>
              <w:rPr>
                <w:b/>
                <w:bCs/>
                <w:sz w:val="20"/>
                <w:szCs w:val="20"/>
              </w:rPr>
              <w:t xml:space="preserve">H1</w:t>
            </w:r>
          </w:p>
        </w:tc>
        <w:tc>
          <w:tcPr>
            <w:tcMar>
              <w:top w:type="dxa" w:w="100"/>
              <w:left w:type="dxa" w:w="120"/>
              <w:bottom w:type="dxa" w:w="100"/>
              <w:right w:type="dxa" w:w="120"/>
            </w:tcMar>
          </w:tcPr>
          <w:p>
            <w:r>
              <w:rPr>
                <w:b w:val="false"/>
                <w:bCs w:val="false"/>
                <w:sz w:val="20"/>
                <w:szCs w:val="20"/>
              </w:rPr>
              <w:t xml:space="preserve">34 / 2.1rem</w:t>
            </w:r>
          </w:p>
        </w:tc>
        <w:tc>
          <w:tcPr>
            <w:tcMar>
              <w:top w:type="dxa" w:w="100"/>
              <w:left w:type="dxa" w:w="120"/>
              <w:bottom w:type="dxa" w:w="100"/>
              <w:right w:type="dxa" w:w="120"/>
            </w:tcMar>
          </w:tcPr>
          <w:p>
            <w:r>
              <w:rPr>
                <w:b w:val="false"/>
                <w:bCs w:val="false"/>
                <w:sz w:val="20"/>
                <w:szCs w:val="20"/>
              </w:rPr>
              <w:t xml:space="preserve">Bold</w:t>
            </w:r>
          </w:p>
        </w:tc>
        <w:tc>
          <w:tcPr>
            <w:tcMar>
              <w:top w:type="dxa" w:w="100"/>
              <w:left w:type="dxa" w:w="120"/>
              <w:bottom w:type="dxa" w:w="100"/>
              <w:right w:type="dxa" w:w="120"/>
            </w:tcMar>
          </w:tcPr>
          <w:p>
            <w:r>
              <w:rPr>
                <w:b w:val="false"/>
                <w:bCs w:val="false"/>
                <w:sz w:val="20"/>
                <w:szCs w:val="20"/>
              </w:rPr>
              <w:t xml:space="preserve">Page-level section titles</w:t>
            </w:r>
          </w:p>
        </w:tc>
      </w:tr>
      <w:tr>
        <w:tc>
          <w:tcPr>
            <w:tcMar>
              <w:top w:type="dxa" w:w="100"/>
              <w:left w:type="dxa" w:w="120"/>
              <w:bottom w:type="dxa" w:w="100"/>
              <w:right w:type="dxa" w:w="120"/>
            </w:tcMar>
          </w:tcPr>
          <w:p>
            <w:r>
              <w:rPr>
                <w:b/>
                <w:bCs/>
                <w:sz w:val="20"/>
                <w:szCs w:val="20"/>
              </w:rPr>
              <w:t xml:space="preserve">H2</w:t>
            </w:r>
          </w:p>
        </w:tc>
        <w:tc>
          <w:tcPr>
            <w:tcMar>
              <w:top w:type="dxa" w:w="100"/>
              <w:left w:type="dxa" w:w="120"/>
              <w:bottom w:type="dxa" w:w="100"/>
              <w:right w:type="dxa" w:w="120"/>
            </w:tcMar>
          </w:tcPr>
          <w:p>
            <w:r>
              <w:rPr>
                <w:b w:val="false"/>
                <w:bCs w:val="false"/>
                <w:sz w:val="20"/>
                <w:szCs w:val="20"/>
              </w:rPr>
              <w:t xml:space="preserve">27 / 1.7rem</w:t>
            </w:r>
          </w:p>
        </w:tc>
        <w:tc>
          <w:tcPr>
            <w:tcMar>
              <w:top w:type="dxa" w:w="100"/>
              <w:left w:type="dxa" w:w="120"/>
              <w:bottom w:type="dxa" w:w="100"/>
              <w:right w:type="dxa" w:w="120"/>
            </w:tcMar>
          </w:tcPr>
          <w:p>
            <w:r>
              <w:rPr>
                <w:b w:val="false"/>
                <w:bCs w:val="false"/>
                <w:sz w:val="20"/>
                <w:szCs w:val="20"/>
              </w:rPr>
              <w:t xml:space="preserve">SemiBold</w:t>
            </w:r>
          </w:p>
        </w:tc>
        <w:tc>
          <w:tcPr>
            <w:tcMar>
              <w:top w:type="dxa" w:w="100"/>
              <w:left w:type="dxa" w:w="120"/>
              <w:bottom w:type="dxa" w:w="100"/>
              <w:right w:type="dxa" w:w="120"/>
            </w:tcMar>
          </w:tcPr>
          <w:p>
            <w:r>
              <w:rPr>
                <w:b w:val="false"/>
                <w:bCs w:val="false"/>
                <w:sz w:val="20"/>
                <w:szCs w:val="20"/>
              </w:rPr>
              <w:t xml:space="preserve">Module and card section headers</w:t>
            </w:r>
          </w:p>
        </w:tc>
      </w:tr>
      <w:tr>
        <w:tc>
          <w:tcPr>
            <w:tcMar>
              <w:top w:type="dxa" w:w="100"/>
              <w:left w:type="dxa" w:w="120"/>
              <w:bottom w:type="dxa" w:w="100"/>
              <w:right w:type="dxa" w:w="120"/>
            </w:tcMar>
          </w:tcPr>
          <w:p>
            <w:r>
              <w:rPr>
                <w:b/>
                <w:bCs/>
                <w:sz w:val="20"/>
                <w:szCs w:val="20"/>
              </w:rPr>
              <w:t xml:space="preserve">H3</w:t>
            </w:r>
          </w:p>
        </w:tc>
        <w:tc>
          <w:tcPr>
            <w:tcMar>
              <w:top w:type="dxa" w:w="100"/>
              <w:left w:type="dxa" w:w="120"/>
              <w:bottom w:type="dxa" w:w="100"/>
              <w:right w:type="dxa" w:w="120"/>
            </w:tcMar>
          </w:tcPr>
          <w:p>
            <w:r>
              <w:rPr>
                <w:b w:val="false"/>
                <w:bCs w:val="false"/>
                <w:sz w:val="20"/>
                <w:szCs w:val="20"/>
              </w:rPr>
              <w:t xml:space="preserve">24 / 1.5rem</w:t>
            </w:r>
          </w:p>
        </w:tc>
        <w:tc>
          <w:tcPr>
            <w:tcMar>
              <w:top w:type="dxa" w:w="100"/>
              <w:left w:type="dxa" w:w="120"/>
              <w:bottom w:type="dxa" w:w="100"/>
              <w:right w:type="dxa" w:w="120"/>
            </w:tcMar>
          </w:tcPr>
          <w:p>
            <w:r>
              <w:rPr>
                <w:b w:val="false"/>
                <w:bCs w:val="false"/>
                <w:sz w:val="20"/>
                <w:szCs w:val="20"/>
              </w:rPr>
              <w:t xml:space="preserve">SemiBold</w:t>
            </w:r>
          </w:p>
        </w:tc>
        <w:tc>
          <w:tcPr>
            <w:tcMar>
              <w:top w:type="dxa" w:w="100"/>
              <w:left w:type="dxa" w:w="120"/>
              <w:bottom w:type="dxa" w:w="100"/>
              <w:right w:type="dxa" w:w="120"/>
            </w:tcMar>
          </w:tcPr>
          <w:p>
            <w:r>
              <w:rPr>
                <w:b w:val="false"/>
                <w:bCs w:val="false"/>
                <w:sz w:val="20"/>
                <w:szCs w:val="20"/>
              </w:rPr>
              <w:t xml:space="preserve">Sub-section headers, panel titles</w:t>
            </w:r>
          </w:p>
        </w:tc>
      </w:tr>
      <w:tr>
        <w:tc>
          <w:tcPr>
            <w:tcMar>
              <w:top w:type="dxa" w:w="100"/>
              <w:left w:type="dxa" w:w="120"/>
              <w:bottom w:type="dxa" w:w="100"/>
              <w:right w:type="dxa" w:w="120"/>
            </w:tcMar>
          </w:tcPr>
          <w:p>
            <w:r>
              <w:rPr>
                <w:b/>
                <w:bCs/>
                <w:sz w:val="20"/>
                <w:szCs w:val="20"/>
              </w:rPr>
              <w:t xml:space="preserve">Body</w:t>
            </w:r>
          </w:p>
        </w:tc>
        <w:tc>
          <w:tcPr>
            <w:tcMar>
              <w:top w:type="dxa" w:w="100"/>
              <w:left w:type="dxa" w:w="120"/>
              <w:bottom w:type="dxa" w:w="100"/>
              <w:right w:type="dxa" w:w="120"/>
            </w:tcMar>
          </w:tcPr>
          <w:p>
            <w:r>
              <w:rPr>
                <w:b w:val="false"/>
                <w:bCs w:val="false"/>
                <w:sz w:val="20"/>
                <w:szCs w:val="20"/>
              </w:rPr>
              <w:t xml:space="preserve">16 / 1rem</w:t>
            </w:r>
          </w:p>
        </w:tc>
        <w:tc>
          <w:tcPr>
            <w:tcMar>
              <w:top w:type="dxa" w:w="100"/>
              <w:left w:type="dxa" w:w="120"/>
              <w:bottom w:type="dxa" w:w="100"/>
              <w:right w:type="dxa" w:w="120"/>
            </w:tcMar>
          </w:tcPr>
          <w:p>
            <w:r>
              <w:rPr>
                <w:b w:val="false"/>
                <w:bCs w:val="false"/>
                <w:sz w:val="20"/>
                <w:szCs w:val="20"/>
              </w:rPr>
              <w:t xml:space="preserve">Regular</w:t>
            </w:r>
          </w:p>
        </w:tc>
        <w:tc>
          <w:tcPr>
            <w:tcMar>
              <w:top w:type="dxa" w:w="100"/>
              <w:left w:type="dxa" w:w="120"/>
              <w:bottom w:type="dxa" w:w="100"/>
              <w:right w:type="dxa" w:w="120"/>
            </w:tcMar>
          </w:tcPr>
          <w:p>
            <w:r>
              <w:rPr>
                <w:b w:val="false"/>
                <w:bCs w:val="false"/>
                <w:sz w:val="20"/>
                <w:szCs w:val="20"/>
              </w:rPr>
              <w:t xml:space="preserve">Primary reading text</w:t>
            </w:r>
          </w:p>
        </w:tc>
      </w:tr>
      <w:tr>
        <w:tc>
          <w:tcPr>
            <w:tcMar>
              <w:top w:type="dxa" w:w="100"/>
              <w:left w:type="dxa" w:w="120"/>
              <w:bottom w:type="dxa" w:w="100"/>
              <w:right w:type="dxa" w:w="120"/>
            </w:tcMar>
          </w:tcPr>
          <w:p>
            <w:r>
              <w:rPr>
                <w:b/>
                <w:bCs/>
                <w:sz w:val="20"/>
                <w:szCs w:val="20"/>
              </w:rPr>
              <w:t xml:space="preserve">Small / Caption</w:t>
            </w:r>
          </w:p>
        </w:tc>
        <w:tc>
          <w:tcPr>
            <w:tcMar>
              <w:top w:type="dxa" w:w="100"/>
              <w:left w:type="dxa" w:w="120"/>
              <w:bottom w:type="dxa" w:w="100"/>
              <w:right w:type="dxa" w:w="120"/>
            </w:tcMar>
          </w:tcPr>
          <w:p>
            <w:r>
              <w:rPr>
                <w:b w:val="false"/>
                <w:bCs w:val="false"/>
                <w:sz w:val="20"/>
                <w:szCs w:val="20"/>
              </w:rPr>
              <w:t xml:space="preserve">13 / 0.8rem</w:t>
            </w:r>
          </w:p>
        </w:tc>
        <w:tc>
          <w:tcPr>
            <w:tcMar>
              <w:top w:type="dxa" w:w="100"/>
              <w:left w:type="dxa" w:w="120"/>
              <w:bottom w:type="dxa" w:w="100"/>
              <w:right w:type="dxa" w:w="120"/>
            </w:tcMar>
          </w:tcPr>
          <w:p>
            <w:r>
              <w:rPr>
                <w:b w:val="false"/>
                <w:bCs w:val="false"/>
                <w:sz w:val="20"/>
                <w:szCs w:val="20"/>
              </w:rPr>
              <w:t xml:space="preserve">Regular</w:t>
            </w:r>
          </w:p>
        </w:tc>
        <w:tc>
          <w:tcPr>
            <w:tcMar>
              <w:top w:type="dxa" w:w="100"/>
              <w:left w:type="dxa" w:w="120"/>
              <w:bottom w:type="dxa" w:w="100"/>
              <w:right w:type="dxa" w:w="120"/>
            </w:tcMar>
          </w:tcPr>
          <w:p>
            <w:r>
              <w:rPr>
                <w:b w:val="false"/>
                <w:bCs w:val="false"/>
                <w:sz w:val="20"/>
                <w:szCs w:val="20"/>
              </w:rPr>
              <w:t xml:space="preserve">Metadata, timestamps, helper text</w:t>
            </w:r>
          </w:p>
        </w:tc>
      </w:tr>
    </w:tbl>
    <w:p>
      <w:pPr>
        <w:spacing w:after="160"/>
      </w:pPr>
      <w:r>
        <w:t xml:space="preserve"/>
      </w:r>
    </w:p>
    <w:p>
      <w:pPr>
        <w:pStyle w:val="Heading2"/>
        <w:spacing w:after="180" w:before="360"/>
      </w:pPr>
      <w:r>
        <w:rPr>
          <w:color w:val="0E5AA7"/>
        </w:rPr>
        <w:t xml:space="preserve">3.1 Typographic Rules</w:t>
      </w:r>
    </w:p>
    <w:p>
      <w:pPr>
        <w:pStyle w:val="ListParagraph"/>
        <w:numPr>
          <w:ilvl w:val="0"/>
          <w:numId w:val="2"/>
        </w:numPr>
        <w:spacing w:after="60"/>
      </w:pPr>
      <w:r>
        <w:t xml:space="preserve">Line length is capped for readability — body text never spans the full width of a wide desktop viewport.</w:t>
      </w:r>
    </w:p>
    <w:p>
      <w:pPr>
        <w:pStyle w:val="ListParagraph"/>
        <w:numPr>
          <w:ilvl w:val="0"/>
          <w:numId w:val="2"/>
        </w:numPr>
        <w:spacing w:after="60"/>
      </w:pPr>
      <w:r>
        <w:t xml:space="preserve">Headings use Deep Navy or Charcoal, never Primary Blue at large sizes — blue is reserved for interactive elements.</w:t>
      </w:r>
    </w:p>
    <w:p>
      <w:pPr>
        <w:pStyle w:val="ListParagraph"/>
        <w:numPr>
          <w:ilvl w:val="0"/>
          <w:numId w:val="2"/>
        </w:numPr>
        <w:spacing w:after="60"/>
      </w:pPr>
      <w:r>
        <w:t xml:space="preserve">No more than three weights are used on a single screen: Regular, SemiBold, Bold.</w:t>
      </w:r>
    </w:p>
    <w:p>
      <w:pPr>
        <w:pStyle w:val="ListParagraph"/>
        <w:numPr>
          <w:ilvl w:val="0"/>
          <w:numId w:val="2"/>
        </w:numPr>
        <w:spacing w:after="60"/>
      </w:pPr>
      <w:r>
        <w:t xml:space="preserve">RTL languages (Hebrew, Arabic, Farsi, Urdu) mirror layout and text alignment fully — see Chapter 6.</w:t>
      </w:r>
    </w:p>
    <w:p>
      <w:pPr>
        <w:pStyle w:val="Heading1"/>
        <w:spacing w:after="240" w:before="480"/>
      </w:pPr>
      <w:r>
        <w:rPr>
          <w:color w:val="071B2E"/>
        </w:rPr>
        <w:t xml:space="preserve">Chapter 4 — Component Philosophy</w:t>
      </w:r>
    </w:p>
    <w:p>
      <w:pPr>
        <w:pStyle w:val="Heading2"/>
        <w:spacing w:after="180" w:before="360"/>
      </w:pPr>
      <w:r>
        <w:rPr>
          <w:color w:val="0E5AA7"/>
        </w:rPr>
        <w:t xml:space="preserve">4.1 Buttons</w:t>
      </w:r>
    </w:p>
    <w:p>
      <w:pPr>
        <w:spacing w:after="160"/>
      </w:pPr>
      <w:r>
        <w:t xml:space="preserve">Primary actions use Primary Blue fill with white text. Secondary actions use an outlined Charcoal or Silver-bordered style. Destructive actions use the Danger semantic color and always require confirmation. Button corner radius, elevation, and motion are defined once in the shared component library and never overridden per-module.</w:t>
      </w:r>
    </w:p>
    <w:p>
      <w:pPr>
        <w:pStyle w:val="Heading2"/>
        <w:spacing w:after="180" w:before="360"/>
      </w:pPr>
      <w:r>
        <w:rPr>
          <w:color w:val="0E5AA7"/>
        </w:rPr>
        <w:t xml:space="preserve">4.2 Cards &amp; Surfaces</w:t>
      </w:r>
    </w:p>
    <w:p>
      <w:pPr>
        <w:spacing w:after="160"/>
      </w:pPr>
      <w:r>
        <w:t xml:space="preserve">Cards use white or near-white surfaces on a very light Silver-tinted background, with soft, single-direction shadows — never heavy drop shadows or skeuomorphic bevels. Card borders, where used, are hairline Silver, not Charcoal.</w:t>
      </w:r>
    </w:p>
    <w:p>
      <w:pPr>
        <w:pStyle w:val="Heading2"/>
        <w:spacing w:after="180" w:before="360"/>
      </w:pPr>
      <w:r>
        <w:rPr>
          <w:color w:val="0E5AA7"/>
        </w:rPr>
        <w:t xml:space="preserve">4.3 Navigation</w:t>
      </w:r>
    </w:p>
    <w:p>
      <w:pPr>
        <w:spacing w:after="160"/>
      </w:pPr>
      <w:r>
        <w:t xml:space="preserve">Primary navigation uses Deep Navy as a grounding surface, distinguishing structural chrome from content. This is the one place Deep Navy is used as a large fill; elsewhere it is reserved for text and accents.</w:t>
      </w:r>
    </w:p>
    <w:p>
      <w:pPr>
        <w:pStyle w:val="Heading2"/>
        <w:spacing w:after="180" w:before="360"/>
      </w:pPr>
      <w:r>
        <w:rPr>
          <w:color w:val="0E5AA7"/>
        </w:rPr>
        <w:t xml:space="preserve">4.4 Data Density</w:t>
      </w:r>
    </w:p>
    <w:p>
      <w:pPr>
        <w:spacing w:after="160"/>
      </w:pPr>
      <w:r>
        <w:t xml:space="preserve">Financial, scheduling, and estimating views (which are naturally data-dense) use a compact table system with generous row height relative to category-standard construction software, prioritizing scanability over cramming maximum rows on screen.</w:t>
      </w:r>
    </w:p>
    <w:p>
      <w:pPr>
        <w:pStyle w:val="Heading2"/>
        <w:spacing w:after="180" w:before="360"/>
      </w:pPr>
      <w:r>
        <w:rPr>
          <w:color w:val="0E5AA7"/>
        </w:rPr>
        <w:t xml:space="preserve">4.5 Motion</w:t>
      </w:r>
    </w:p>
    <w:p>
      <w:pPr>
        <w:spacing w:after="160"/>
      </w:pPr>
      <w:r>
        <w:t xml:space="preserve">Transitions are short (150–250ms), use standard ease curves, and exist to clarify state changes — never as decoration. The 3D Design Studio is the one area where more expressive motion (camera moves, material transitions) is appropriate, governed separately in Volume VIII.</w:t>
      </w:r>
    </w:p>
    <w:p>
      <w:pPr>
        <w:pStyle w:val="Heading1"/>
        <w:spacing w:after="240" w:before="480"/>
      </w:pPr>
      <w:r>
        <w:rPr>
          <w:color w:val="071B2E"/>
        </w:rPr>
        <w:t xml:space="preserve">Chapter 5 — The 3D Design Studio Aesthetic</w:t>
      </w:r>
    </w:p>
    <w:p>
      <w:pPr>
        <w:spacing w:after="160"/>
      </w:pPr>
      <w:r>
        <w:t xml:space="preserve">As the platform's signature feature, the 3D Design Studio carries additional visual weight: dark Deep Navy chrome framing a bright, true-to-material viewport, with a minimal floating material-selection panel rather than a dense sidebar. This mirrors premium configurator experiences (e.g. Porsche's car configurator) rather than CAD software conventions. Full specification is in Volume VIII.</w:t>
      </w:r>
    </w:p>
    <w:p>
      <w:pPr>
        <w:pStyle w:val="Heading1"/>
        <w:spacing w:after="240" w:before="480"/>
      </w:pPr>
      <w:r>
        <w:rPr>
          <w:color w:val="071B2E"/>
        </w:rPr>
        <w:t xml:space="preserve">Chapter 6 — Internationalization &amp; RTL Design</w:t>
      </w:r>
    </w:p>
    <w:p>
      <w:pPr>
        <w:spacing w:after="160"/>
      </w:pPr>
      <w:r>
        <w:t xml:space="preserve">Hebrew, Arabic, Farsi, and Urdu require full right-to-left mirroring: navigation, icons with directional meaning, form layouts, and reading order all flip. The design system defines logical (start/end) spacing tokens rather than physical (left/right) tokens from the outset, so RTL support is structural, not a late patch. All fifteen supported languages are designed for variable text length — German- and Russian-style expansion must not break button or card layouts.</w:t>
      </w:r>
    </w:p>
    <w:p>
      <w:pPr>
        <w:pStyle w:val="ListParagraph"/>
        <w:numPr>
          <w:ilvl w:val="0"/>
          <w:numId w:val="2"/>
        </w:numPr>
        <w:spacing w:after="60"/>
      </w:pPr>
      <w:r>
        <w:t xml:space="preserve">English</w:t>
      </w:r>
    </w:p>
    <w:p>
      <w:pPr>
        <w:pStyle w:val="ListParagraph"/>
        <w:numPr>
          <w:ilvl w:val="0"/>
          <w:numId w:val="2"/>
        </w:numPr>
        <w:spacing w:after="60"/>
      </w:pPr>
      <w:r>
        <w:t xml:space="preserve">Spanish</w:t>
      </w:r>
    </w:p>
    <w:p>
      <w:pPr>
        <w:pStyle w:val="ListParagraph"/>
        <w:numPr>
          <w:ilvl w:val="0"/>
          <w:numId w:val="2"/>
        </w:numPr>
        <w:spacing w:after="60"/>
      </w:pPr>
      <w:r>
        <w:t xml:space="preserve">Hebrew (RTL)</w:t>
      </w:r>
    </w:p>
    <w:p>
      <w:pPr>
        <w:pStyle w:val="ListParagraph"/>
        <w:numPr>
          <w:ilvl w:val="0"/>
          <w:numId w:val="2"/>
        </w:numPr>
        <w:spacing w:after="60"/>
      </w:pPr>
      <w:r>
        <w:t xml:space="preserve">Arabic (RTL)</w:t>
      </w:r>
    </w:p>
    <w:p>
      <w:pPr>
        <w:pStyle w:val="ListParagraph"/>
        <w:numPr>
          <w:ilvl w:val="0"/>
          <w:numId w:val="2"/>
        </w:numPr>
        <w:spacing w:after="60"/>
      </w:pPr>
      <w:r>
        <w:t xml:space="preserve">Farsi (RTL)</w:t>
      </w:r>
    </w:p>
    <w:p>
      <w:pPr>
        <w:pStyle w:val="ListParagraph"/>
        <w:numPr>
          <w:ilvl w:val="0"/>
          <w:numId w:val="2"/>
        </w:numPr>
        <w:spacing w:after="60"/>
      </w:pPr>
      <w:r>
        <w:t xml:space="preserve">Mandarin</w:t>
      </w:r>
    </w:p>
    <w:p>
      <w:pPr>
        <w:pStyle w:val="ListParagraph"/>
        <w:numPr>
          <w:ilvl w:val="0"/>
          <w:numId w:val="2"/>
        </w:numPr>
        <w:spacing w:after="60"/>
      </w:pPr>
      <w:r>
        <w:t xml:space="preserve">Korean</w:t>
      </w:r>
    </w:p>
    <w:p>
      <w:pPr>
        <w:pStyle w:val="ListParagraph"/>
        <w:numPr>
          <w:ilvl w:val="0"/>
          <w:numId w:val="2"/>
        </w:numPr>
        <w:spacing w:after="60"/>
      </w:pPr>
      <w:r>
        <w:t xml:space="preserve">Vietnamese</w:t>
      </w:r>
    </w:p>
    <w:p>
      <w:pPr>
        <w:pStyle w:val="ListParagraph"/>
        <w:numPr>
          <w:ilvl w:val="0"/>
          <w:numId w:val="2"/>
        </w:numPr>
        <w:spacing w:after="60"/>
      </w:pPr>
      <w:r>
        <w:t xml:space="preserve">Tagalog</w:t>
      </w:r>
    </w:p>
    <w:p>
      <w:pPr>
        <w:pStyle w:val="ListParagraph"/>
        <w:numPr>
          <w:ilvl w:val="0"/>
          <w:numId w:val="2"/>
        </w:numPr>
        <w:spacing w:after="60"/>
      </w:pPr>
      <w:r>
        <w:t xml:space="preserve">Russian</w:t>
      </w:r>
    </w:p>
    <w:p>
      <w:pPr>
        <w:pStyle w:val="ListParagraph"/>
        <w:numPr>
          <w:ilvl w:val="0"/>
          <w:numId w:val="2"/>
        </w:numPr>
        <w:spacing w:after="60"/>
      </w:pPr>
      <w:r>
        <w:t xml:space="preserve">French</w:t>
      </w:r>
    </w:p>
    <w:p>
      <w:pPr>
        <w:pStyle w:val="ListParagraph"/>
        <w:numPr>
          <w:ilvl w:val="0"/>
          <w:numId w:val="2"/>
        </w:numPr>
        <w:spacing w:after="60"/>
      </w:pPr>
      <w:r>
        <w:t xml:space="preserve">Portuguese</w:t>
      </w:r>
    </w:p>
    <w:p>
      <w:pPr>
        <w:pStyle w:val="ListParagraph"/>
        <w:numPr>
          <w:ilvl w:val="0"/>
          <w:numId w:val="2"/>
        </w:numPr>
        <w:spacing w:after="60"/>
      </w:pPr>
      <w:r>
        <w:t xml:space="preserve">Hindi</w:t>
      </w:r>
    </w:p>
    <w:p>
      <w:pPr>
        <w:pStyle w:val="ListParagraph"/>
        <w:numPr>
          <w:ilvl w:val="0"/>
          <w:numId w:val="2"/>
        </w:numPr>
        <w:spacing w:after="60"/>
      </w:pPr>
      <w:r>
        <w:t xml:space="preserve">Punjabi</w:t>
      </w:r>
    </w:p>
    <w:p>
      <w:pPr>
        <w:pStyle w:val="ListParagraph"/>
        <w:numPr>
          <w:ilvl w:val="0"/>
          <w:numId w:val="2"/>
        </w:numPr>
        <w:spacing w:after="60"/>
      </w:pPr>
      <w:r>
        <w:t xml:space="preserve">Urdu (RTL)</w:t>
      </w:r>
    </w:p>
    <w:p>
      <w:pPr>
        <w:pStyle w:val="ListParagraph"/>
        <w:numPr>
          <w:ilvl w:val="0"/>
          <w:numId w:val="2"/>
        </w:numPr>
        <w:spacing w:after="60"/>
      </w:pPr>
      <w:r>
        <w:t xml:space="preserve">Armenian</w:t>
      </w:r>
    </w:p>
    <w:p>
      <w:pPr>
        <w:pStyle w:val="Heading1"/>
        <w:spacing w:after="240" w:before="480"/>
      </w:pPr>
      <w:r>
        <w:rPr>
          <w:color w:val="071B2E"/>
        </w:rPr>
        <w:t xml:space="preserve">Chapter 7 — Logo &amp; Brand Marks</w:t>
      </w:r>
    </w:p>
    <w:p>
      <w:pPr>
        <w:spacing w:after="160"/>
      </w:pPr>
      <w:r>
        <w:t xml:space="preserve">Formal logo lockups, favicon, and app-icon treatments are a design deliverable outside the scope of this engineering PRD and will be produced separately by the brand design function. This volume defines the constraints those marks must respect: Primary Blue and Deep Navy as the only acceptable brand-mark colors, with white or transparent backgrounds, and no gradient or 3D bevel treatments.</w:t>
      </w:r>
    </w:p>
    <w:p>
      <w:pPr>
        <w:pStyle w:val="Heading1"/>
        <w:spacing w:after="240" w:before="480"/>
      </w:pPr>
      <w:r>
        <w:rPr>
          <w:color w:val="071B2E"/>
        </w:rPr>
        <w:t xml:space="preserve">Chapter 8 — Cross-Portal Consistency</w:t>
      </w:r>
    </w:p>
    <w:p>
      <w:pPr>
        <w:spacing w:after="160"/>
      </w:pPr>
      <w:r>
        <w:t xml:space="preserve">The Client, Vendor, Subcontractor, Architect, Engineer, and Inspector portals are visually one family, differentiated only by information architecture (what each role sees), never by a different visual language. A user moving between an internal dashboard and a portal view screenshot should be able to identify both as Gottlieb Build &amp; Design without seeing a logo.</w:t>
      </w:r>
    </w:p>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Next volume: 03-Architecture — System Architecture, Technology Stack &amp; Environments.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B2F3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C9CDD2"/>
        <w:sz w:val="16"/>
        <w:szCs w:val="16"/>
      </w:rPr>
      <w:t xml:space="preserve">GOTTLIEB BUILD &amp; DESIGN · VOLUME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b/>
      <w:bCs/>
      <w:color w:val="071B2E"/>
      <w:sz w:val="34"/>
      <w:szCs w:val="34"/>
    </w:rPr>
  </w:style>
  <w:style w:type="paragraph" w:styleId="Heading2">
    <w:name w:val="Heading 2"/>
    <w:basedOn w:val="Normal"/>
    <w:next w:val="Normal"/>
    <w:qFormat/>
    <w:pPr>
      <w:spacing w:after="180" w:before="360"/>
    </w:pPr>
    <w:rPr>
      <w:b/>
      <w:bCs/>
      <w:color w:val="0E5AA7"/>
      <w:sz w:val="27"/>
      <w:szCs w:val="27"/>
    </w:rPr>
  </w:style>
  <w:style w:type="paragraph" w:styleId="Heading3">
    <w:name w:val="Heading 3"/>
    <w:basedOn w:val="Normal"/>
    <w:next w:val="Normal"/>
    <w:qFormat/>
    <w:pPr>
      <w:spacing w:after="120" w:before="240"/>
    </w:pPr>
    <w:rPr>
      <w:b/>
      <w:bCs/>
      <w:color w:val="2B2F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2026-08-04T17:09:05.738Z</dcterms:created>
  <dcterms:modified xsi:type="dcterms:W3CDTF">2026-08-04T17:09:05.739Z</dcterms:modified>
</cp:coreProperties>
</file>

<file path=docProps/custom.xml><?xml version="1.0" encoding="utf-8"?>
<Properties xmlns="http://schemas.openxmlformats.org/officeDocument/2006/custom-properties" xmlns:vt="http://schemas.openxmlformats.org/officeDocument/2006/docPropsVTypes"/>
</file>