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5AA7"/>
          <w:sz w:val="26"/>
          <w:szCs w:val="26"/>
        </w:rPr>
        <w:t xml:space="preserve">GOTTLIEB BUILD &amp; DESIGN</w:t>
      </w:r>
    </w:p>
    <w:p>
      <w:pPr>
        <w:spacing w:after="400" w:before="100"/>
        <w:jc w:val="center"/>
      </w:pPr>
      <w:r>
        <w:rPr>
          <w:color w:val="2B2F36"/>
          <w:sz w:val="20"/>
          <w:szCs w:val="20"/>
        </w:rPr>
        <w:t xml:space="preserve">CONSTRUCTION OPERATING SYSTEM</w:t>
      </w:r>
    </w:p>
    <w:p>
      <w:pPr>
        <w:spacing w:before="800"/>
        <w:jc w:val="center"/>
      </w:pPr>
      <w:r>
        <w:rPr>
          <w:b/>
          <w:bCs/>
          <w:color w:val="071B2E"/>
          <w:sz w:val="56"/>
          <w:szCs w:val="56"/>
        </w:rPr>
        <w:t xml:space="preserve">VOLUME III</w:t>
      </w:r>
    </w:p>
    <w:p>
      <w:pPr>
        <w:spacing w:after="800" w:before="200"/>
        <w:jc w:val="center"/>
      </w:pPr>
      <w:r>
        <w:rPr>
          <w:i/>
          <w:iCs/>
          <w:color w:val="0E5AA7"/>
          <w:sz w:val="24"/>
          <w:szCs w:val="24"/>
        </w:rPr>
        <w:t xml:space="preserve">System Architecture &amp; Technology Stack</w:t>
      </w:r>
    </w:p>
    <w:p>
      <w:pPr>
        <w:spacing w:before="2400"/>
        <w:jc w:val="center"/>
      </w:pPr>
      <w:r>
        <w:rPr>
          <w:color w:val="2B2F36"/>
          <w:sz w:val="20"/>
          <w:szCs w:val="20"/>
        </w:rPr>
        <w:t xml:space="preserve">CLAUDE MASTER PROMPT 001 · Document 03-Architecture</w:t>
      </w:r>
    </w:p>
    <w:p>
      <w:pPr>
        <w:spacing w:before="100"/>
        <w:jc w:val="center"/>
      </w:pPr>
      <w:r>
        <w:rPr>
          <w:color w:val="2B2F36"/>
          <w:sz w:val="20"/>
          <w:szCs w:val="20"/>
        </w:rPr>
        <w:t xml:space="preserve">Master Product Requirements Document — Volume III</w:t>
      </w:r>
    </w:p>
    <w:p>
      <w:pPr>
        <w:spacing w:before="100"/>
        <w:jc w:val="center"/>
      </w:pPr>
      <w:r>
        <w:rPr>
          <w:b/>
          <w:bCs/>
          <w:color w:val="C9CDD2"/>
          <w:sz w:val="18"/>
          <w:szCs w:val="18"/>
        </w:rPr>
        <w:t xml:space="preserve">Status: Draft for Approval</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Chapter 1 — Architectural Overview</w:t>
      </w:r>
    </w:p>
    <w:p>
      <w:pPr>
        <w:spacing w:after="160"/>
      </w:pPr>
      <w:r>
        <w:t xml:space="preserve">Gottlieb Build &amp; Design is built as a modern, server-rendered web application with a strongly typed frontend, a managed backend-as-a-service data layer, and clearly separated integration boundaries to the GOS Document Generator and future AWS services. The architecture favors a small number of well-understood, managed services over a large number of bespoke ones, so that a small engineering team can operate the platform reliably as it scales across modules and portals.</w:t>
      </w:r>
    </w:p>
    <w:p>
      <w:pPr>
        <w:pStyle w:val="Heading2"/>
        <w:spacing w:after="180" w:before="360"/>
      </w:pPr>
      <w:r>
        <w:rPr>
          <w:color w:val="0E5AA7"/>
        </w:rPr>
        <w:t xml:space="preserve">1.1 Architectural Goals</w:t>
      </w:r>
    </w:p>
    <w:p>
      <w:pPr>
        <w:pStyle w:val="ListParagraph"/>
        <w:numPr>
          <w:ilvl w:val="0"/>
          <w:numId w:val="2"/>
        </w:numPr>
        <w:spacing w:after="60"/>
      </w:pPr>
      <w:r>
        <w:t xml:space="preserve">Single codebase, multiple portals — Client, Vendor, Subcontractor, and internal experiences share one Next.js application, differentiated by route groups and role-based access, not separate deployments.</w:t>
      </w:r>
    </w:p>
    <w:p>
      <w:pPr>
        <w:pStyle w:val="ListParagraph"/>
        <w:numPr>
          <w:ilvl w:val="0"/>
          <w:numId w:val="2"/>
        </w:numPr>
        <w:spacing w:after="60"/>
      </w:pPr>
      <w:r>
        <w:t xml:space="preserve">Managed infrastructure first — Supabase and Vercel absorb operational burden (auth, database, storage, realtime, CDN, deployment) so engineering effort goes into product, not infrastructure plumbing.</w:t>
      </w:r>
    </w:p>
    <w:p>
      <w:pPr>
        <w:pStyle w:val="ListParagraph"/>
        <w:numPr>
          <w:ilvl w:val="0"/>
          <w:numId w:val="2"/>
        </w:numPr>
        <w:spacing w:after="60"/>
      </w:pPr>
      <w:r>
        <w:t xml:space="preserve">Strict boundary with the Document Generator — this platform never authors documents; it only requests them via API and displays status.</w:t>
      </w:r>
    </w:p>
    <w:p>
      <w:pPr>
        <w:pStyle w:val="ListParagraph"/>
        <w:numPr>
          <w:ilvl w:val="0"/>
          <w:numId w:val="2"/>
        </w:numPr>
        <w:spacing w:after="60"/>
      </w:pPr>
      <w:r>
        <w:t xml:space="preserve">Strict boundary with Medical Administration — no shared services, schemas, or code paths with any future medical system.</w:t>
      </w:r>
    </w:p>
    <w:p>
      <w:pPr>
        <w:pStyle w:val="ListParagraph"/>
        <w:numPr>
          <w:ilvl w:val="0"/>
          <w:numId w:val="2"/>
        </w:numPr>
        <w:spacing w:after="60"/>
      </w:pPr>
      <w:r>
        <w:t xml:space="preserve">Progressive AI enablement — AI features (Volume VII) are additive services called from defined integration points, not woven invisibly through core logic, so they can be versioned and audited independently.</w:t>
      </w:r>
    </w:p>
    <w:p>
      <w:pPr>
        <w:pStyle w:val="Heading1"/>
        <w:spacing w:after="240" w:before="480"/>
      </w:pPr>
      <w:r>
        <w:rPr>
          <w:color w:val="071B2E"/>
        </w:rPr>
        <w:t xml:space="preserve">Chapter 2 — Technology Stack</w:t>
      </w:r>
    </w:p>
    <w:p>
      <w:pPr>
        <w:pStyle w:val="Heading2"/>
        <w:spacing w:after="180" w:before="360"/>
      </w:pPr>
      <w:r>
        <w:rPr>
          <w:color w:val="0E5AA7"/>
        </w:rPr>
        <w:t xml:space="preserve">2.1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00"/>
      </w:tblGrid>
      <w:tr>
        <w:trPr>
          <w:tblHeader/>
        </w:trPr>
        <w:tc>
          <w:tcPr>
            <w:shd w:fill="071B2E" w:val="clear"/>
            <w:tcMar>
              <w:top w:type="dxa" w:w="100"/>
              <w:left w:type="dxa" w:w="120"/>
              <w:bottom w:type="dxa" w:w="100"/>
              <w:right w:type="dxa" w:w="120"/>
            </w:tcMar>
          </w:tcPr>
          <w:p>
            <w:r>
              <w:rPr>
                <w:b/>
                <w:bCs/>
                <w:color w:val="FFFFFF"/>
                <w:sz w:val="20"/>
                <w:szCs w:val="20"/>
              </w:rPr>
              <w:t xml:space="preserve">Layer</w:t>
            </w:r>
          </w:p>
        </w:tc>
        <w:tc>
          <w:tcPr>
            <w:shd w:fill="071B2E" w:val="clear"/>
            <w:tcMar>
              <w:top w:type="dxa" w:w="100"/>
              <w:left w:type="dxa" w:w="120"/>
              <w:bottom w:type="dxa" w:w="100"/>
              <w:right w:type="dxa" w:w="120"/>
            </w:tcMar>
          </w:tcPr>
          <w:p>
            <w:r>
              <w:rPr>
                <w:b/>
                <w:bCs/>
                <w:color w:val="FFFFFF"/>
                <w:sz w:val="20"/>
                <w:szCs w:val="20"/>
              </w:rPr>
              <w:t xml:space="preserve">Technology</w:t>
            </w:r>
          </w:p>
        </w:tc>
        <w:tc>
          <w:tcPr>
            <w:shd w:fill="071B2E" w:val="clear"/>
            <w:tcMar>
              <w:top w:type="dxa" w:w="100"/>
              <w:left w:type="dxa" w:w="120"/>
              <w:bottom w:type="dxa" w:w="100"/>
              <w:right w:type="dxa" w:w="120"/>
            </w:tcMar>
          </w:tcPr>
          <w:p>
            <w:r>
              <w:rPr>
                <w:b/>
                <w:bCs/>
                <w:color w:val="FFFFFF"/>
                <w:sz w:val="20"/>
                <w:szCs w:val="20"/>
              </w:rPr>
              <w:t xml:space="preserve">Purpose</w:t>
            </w:r>
          </w:p>
        </w:tc>
      </w:tr>
      <w:tr>
        <w:tc>
          <w:tcPr>
            <w:tcMar>
              <w:top w:type="dxa" w:w="100"/>
              <w:left w:type="dxa" w:w="120"/>
              <w:bottom w:type="dxa" w:w="100"/>
              <w:right w:type="dxa" w:w="120"/>
            </w:tcMar>
          </w:tcPr>
          <w:p>
            <w:r>
              <w:rPr>
                <w:b/>
                <w:bCs/>
                <w:sz w:val="20"/>
                <w:szCs w:val="20"/>
              </w:rPr>
              <w:t xml:space="preserve">Framework</w:t>
            </w:r>
          </w:p>
        </w:tc>
        <w:tc>
          <w:tcPr>
            <w:tcMar>
              <w:top w:type="dxa" w:w="100"/>
              <w:left w:type="dxa" w:w="120"/>
              <w:bottom w:type="dxa" w:w="100"/>
              <w:right w:type="dxa" w:w="120"/>
            </w:tcMar>
          </w:tcPr>
          <w:p>
            <w:r>
              <w:rPr>
                <w:b w:val="false"/>
                <w:bCs w:val="false"/>
                <w:sz w:val="20"/>
                <w:szCs w:val="20"/>
              </w:rPr>
              <w:t xml:space="preserve">Next.js (App Router)</w:t>
            </w:r>
          </w:p>
        </w:tc>
        <w:tc>
          <w:tcPr>
            <w:tcMar>
              <w:top w:type="dxa" w:w="100"/>
              <w:left w:type="dxa" w:w="120"/>
              <w:bottom w:type="dxa" w:w="100"/>
              <w:right w:type="dxa" w:w="120"/>
            </w:tcMar>
          </w:tcPr>
          <w:p>
            <w:r>
              <w:rPr>
                <w:b w:val="false"/>
                <w:bCs w:val="false"/>
                <w:sz w:val="20"/>
                <w:szCs w:val="20"/>
              </w:rPr>
              <w:t xml:space="preserve">Server-rendered React, file-based routing, route groups per portal</w:t>
            </w:r>
          </w:p>
        </w:tc>
      </w:tr>
      <w:tr>
        <w:tc>
          <w:tcPr>
            <w:tcMar>
              <w:top w:type="dxa" w:w="100"/>
              <w:left w:type="dxa" w:w="120"/>
              <w:bottom w:type="dxa" w:w="100"/>
              <w:right w:type="dxa" w:w="120"/>
            </w:tcMar>
          </w:tcPr>
          <w:p>
            <w:r>
              <w:rPr>
                <w:b/>
                <w:bCs/>
                <w:sz w:val="20"/>
                <w:szCs w:val="20"/>
              </w:rPr>
              <w:t xml:space="preserve">Language</w:t>
            </w:r>
          </w:p>
        </w:tc>
        <w:tc>
          <w:tcPr>
            <w:tcMar>
              <w:top w:type="dxa" w:w="100"/>
              <w:left w:type="dxa" w:w="120"/>
              <w:bottom w:type="dxa" w:w="100"/>
              <w:right w:type="dxa" w:w="120"/>
            </w:tcMar>
          </w:tcPr>
          <w:p>
            <w:r>
              <w:rPr>
                <w:b w:val="false"/>
                <w:bCs w:val="false"/>
                <w:sz w:val="20"/>
                <w:szCs w:val="20"/>
              </w:rPr>
              <w:t xml:space="preserve">TypeScript</w:t>
            </w:r>
          </w:p>
        </w:tc>
        <w:tc>
          <w:tcPr>
            <w:tcMar>
              <w:top w:type="dxa" w:w="100"/>
              <w:left w:type="dxa" w:w="120"/>
              <w:bottom w:type="dxa" w:w="100"/>
              <w:right w:type="dxa" w:w="120"/>
            </w:tcMar>
          </w:tcPr>
          <w:p>
            <w:r>
              <w:rPr>
                <w:b w:val="false"/>
                <w:bCs w:val="false"/>
                <w:sz w:val="20"/>
                <w:szCs w:val="20"/>
              </w:rPr>
              <w:t xml:space="preserve">End-to-end type safety, shared types with Supabase-generated schema types</w:t>
            </w:r>
          </w:p>
        </w:tc>
      </w:tr>
      <w:tr>
        <w:tc>
          <w:tcPr>
            <w:tcMar>
              <w:top w:type="dxa" w:w="100"/>
              <w:left w:type="dxa" w:w="120"/>
              <w:bottom w:type="dxa" w:w="100"/>
              <w:right w:type="dxa" w:w="120"/>
            </w:tcMar>
          </w:tcPr>
          <w:p>
            <w:r>
              <w:rPr>
                <w:b/>
                <w:bCs/>
                <w:sz w:val="20"/>
                <w:szCs w:val="20"/>
              </w:rPr>
              <w:t xml:space="preserve">Styling</w:t>
            </w:r>
          </w:p>
        </w:tc>
        <w:tc>
          <w:tcPr>
            <w:tcMar>
              <w:top w:type="dxa" w:w="100"/>
              <w:left w:type="dxa" w:w="120"/>
              <w:bottom w:type="dxa" w:w="100"/>
              <w:right w:type="dxa" w:w="120"/>
            </w:tcMar>
          </w:tcPr>
          <w:p>
            <w:r>
              <w:rPr>
                <w:b w:val="false"/>
                <w:bCs w:val="false"/>
                <w:sz w:val="20"/>
                <w:szCs w:val="20"/>
              </w:rPr>
              <w:t xml:space="preserve">TailwindCSS</w:t>
            </w:r>
          </w:p>
        </w:tc>
        <w:tc>
          <w:tcPr>
            <w:tcMar>
              <w:top w:type="dxa" w:w="100"/>
              <w:left w:type="dxa" w:w="120"/>
              <w:bottom w:type="dxa" w:w="100"/>
              <w:right w:type="dxa" w:w="120"/>
            </w:tcMar>
          </w:tcPr>
          <w:p>
            <w:r>
              <w:rPr>
                <w:b w:val="false"/>
                <w:bCs w:val="false"/>
                <w:sz w:val="20"/>
                <w:szCs w:val="20"/>
              </w:rPr>
              <w:t xml:space="preserve">Utility-first styling enforcing the Volume II design tokens</w:t>
            </w:r>
          </w:p>
        </w:tc>
      </w:tr>
      <w:tr>
        <w:tc>
          <w:tcPr>
            <w:tcMar>
              <w:top w:type="dxa" w:w="100"/>
              <w:left w:type="dxa" w:w="120"/>
              <w:bottom w:type="dxa" w:w="100"/>
              <w:right w:type="dxa" w:w="120"/>
            </w:tcMar>
          </w:tcPr>
          <w:p>
            <w:r>
              <w:rPr>
                <w:b/>
                <w:bCs/>
                <w:sz w:val="20"/>
                <w:szCs w:val="20"/>
              </w:rPr>
              <w:t xml:space="preserve">3D Rendering</w:t>
            </w:r>
          </w:p>
        </w:tc>
        <w:tc>
          <w:tcPr>
            <w:tcMar>
              <w:top w:type="dxa" w:w="100"/>
              <w:left w:type="dxa" w:w="120"/>
              <w:bottom w:type="dxa" w:w="100"/>
              <w:right w:type="dxa" w:w="120"/>
            </w:tcMar>
          </w:tcPr>
          <w:p>
            <w:r>
              <w:rPr>
                <w:b w:val="false"/>
                <w:bCs w:val="false"/>
                <w:sz w:val="20"/>
                <w:szCs w:val="20"/>
              </w:rPr>
              <w:t xml:space="preserve">React Three Fiber, Three.js, Drei</w:t>
            </w:r>
          </w:p>
        </w:tc>
        <w:tc>
          <w:tcPr>
            <w:tcMar>
              <w:top w:type="dxa" w:w="100"/>
              <w:left w:type="dxa" w:w="120"/>
              <w:bottom w:type="dxa" w:w="100"/>
              <w:right w:type="dxa" w:w="120"/>
            </w:tcMar>
          </w:tcPr>
          <w:p>
            <w:r>
              <w:rPr>
                <w:b w:val="false"/>
                <w:bCs w:val="false"/>
                <w:sz w:val="20"/>
                <w:szCs w:val="20"/>
              </w:rPr>
              <w:t xml:space="preserve">GLB model rendering for the 3D Design Studio (Volume VIII)</w:t>
            </w:r>
          </w:p>
        </w:tc>
      </w:tr>
      <w:tr>
        <w:tc>
          <w:tcPr>
            <w:tcMar>
              <w:top w:type="dxa" w:w="100"/>
              <w:left w:type="dxa" w:w="120"/>
              <w:bottom w:type="dxa" w:w="100"/>
              <w:right w:type="dxa" w:w="120"/>
            </w:tcMar>
          </w:tcPr>
          <w:p>
            <w:r>
              <w:rPr>
                <w:b/>
                <w:bCs/>
                <w:sz w:val="20"/>
                <w:szCs w:val="20"/>
              </w:rPr>
              <w:t xml:space="preserve">State/Data</w:t>
            </w:r>
          </w:p>
        </w:tc>
        <w:tc>
          <w:tcPr>
            <w:tcMar>
              <w:top w:type="dxa" w:w="100"/>
              <w:left w:type="dxa" w:w="120"/>
              <w:bottom w:type="dxa" w:w="100"/>
              <w:right w:type="dxa" w:w="120"/>
            </w:tcMar>
          </w:tcPr>
          <w:p>
            <w:r>
              <w:rPr>
                <w:b w:val="false"/>
                <w:bCs w:val="false"/>
                <w:sz w:val="20"/>
                <w:szCs w:val="20"/>
              </w:rPr>
              <w:t xml:space="preserve">React Server Components + typed data-fetching layer</w:t>
            </w:r>
          </w:p>
        </w:tc>
        <w:tc>
          <w:tcPr>
            <w:tcMar>
              <w:top w:type="dxa" w:w="100"/>
              <w:left w:type="dxa" w:w="120"/>
              <w:bottom w:type="dxa" w:w="100"/>
              <w:right w:type="dxa" w:w="120"/>
            </w:tcMar>
          </w:tcPr>
          <w:p>
            <w:r>
              <w:rPr>
                <w:b w:val="false"/>
                <w:bCs w:val="false"/>
                <w:sz w:val="20"/>
                <w:szCs w:val="20"/>
              </w:rPr>
              <w:t xml:space="preserve">Minimizes client-side state; mutations go through typed server actions</w:t>
            </w:r>
          </w:p>
        </w:tc>
      </w:tr>
    </w:tbl>
    <w:p>
      <w:pPr>
        <w:pStyle w:val="Heading2"/>
        <w:spacing w:after="180" w:before="360"/>
      </w:pPr>
      <w:r>
        <w:rPr>
          <w:color w:val="0E5AA7"/>
        </w:rPr>
        <w:t xml:space="preserve">2.2 Backend &amp;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00"/>
      </w:tblGrid>
      <w:tr>
        <w:trPr>
          <w:tblHeader/>
        </w:trPr>
        <w:tc>
          <w:tcPr>
            <w:shd w:fill="071B2E" w:val="clear"/>
            <w:tcMar>
              <w:top w:type="dxa" w:w="100"/>
              <w:left w:type="dxa" w:w="120"/>
              <w:bottom w:type="dxa" w:w="100"/>
              <w:right w:type="dxa" w:w="120"/>
            </w:tcMar>
          </w:tcPr>
          <w:p>
            <w:r>
              <w:rPr>
                <w:b/>
                <w:bCs/>
                <w:color w:val="FFFFFF"/>
                <w:sz w:val="20"/>
                <w:szCs w:val="20"/>
              </w:rPr>
              <w:t xml:space="preserve">Layer</w:t>
            </w:r>
          </w:p>
        </w:tc>
        <w:tc>
          <w:tcPr>
            <w:shd w:fill="071B2E" w:val="clear"/>
            <w:tcMar>
              <w:top w:type="dxa" w:w="100"/>
              <w:left w:type="dxa" w:w="120"/>
              <w:bottom w:type="dxa" w:w="100"/>
              <w:right w:type="dxa" w:w="120"/>
            </w:tcMar>
          </w:tcPr>
          <w:p>
            <w:r>
              <w:rPr>
                <w:b/>
                <w:bCs/>
                <w:color w:val="FFFFFF"/>
                <w:sz w:val="20"/>
                <w:szCs w:val="20"/>
              </w:rPr>
              <w:t xml:space="preserve">Technology</w:t>
            </w:r>
          </w:p>
        </w:tc>
        <w:tc>
          <w:tcPr>
            <w:shd w:fill="071B2E" w:val="clear"/>
            <w:tcMar>
              <w:top w:type="dxa" w:w="100"/>
              <w:left w:type="dxa" w:w="120"/>
              <w:bottom w:type="dxa" w:w="100"/>
              <w:right w:type="dxa" w:w="120"/>
            </w:tcMar>
          </w:tcPr>
          <w:p>
            <w:r>
              <w:rPr>
                <w:b/>
                <w:bCs/>
                <w:color w:val="FFFFFF"/>
                <w:sz w:val="20"/>
                <w:szCs w:val="20"/>
              </w:rPr>
              <w:t xml:space="preserve">Purpose</w:t>
            </w:r>
          </w:p>
        </w:tc>
      </w:tr>
      <w:tr>
        <w:tc>
          <w:tcPr>
            <w:tcMar>
              <w:top w:type="dxa" w:w="100"/>
              <w:left w:type="dxa" w:w="120"/>
              <w:bottom w:type="dxa" w:w="100"/>
              <w:right w:type="dxa" w:w="120"/>
            </w:tcMar>
          </w:tcPr>
          <w:p>
            <w:r>
              <w:rPr>
                <w:b/>
                <w:bCs/>
                <w:sz w:val="20"/>
                <w:szCs w:val="20"/>
              </w:rPr>
              <w:t xml:space="preserve">Database</w:t>
            </w:r>
          </w:p>
        </w:tc>
        <w:tc>
          <w:tcPr>
            <w:tcMar>
              <w:top w:type="dxa" w:w="100"/>
              <w:left w:type="dxa" w:w="120"/>
              <w:bottom w:type="dxa" w:w="100"/>
              <w:right w:type="dxa" w:w="120"/>
            </w:tcMar>
          </w:tcPr>
          <w:p>
            <w:r>
              <w:rPr>
                <w:b w:val="false"/>
                <w:bCs w:val="false"/>
                <w:sz w:val="20"/>
                <w:szCs w:val="20"/>
              </w:rPr>
              <w:t xml:space="preserve">Supabase Postgres</w:t>
            </w:r>
          </w:p>
        </w:tc>
        <w:tc>
          <w:tcPr>
            <w:tcMar>
              <w:top w:type="dxa" w:w="100"/>
              <w:left w:type="dxa" w:w="120"/>
              <w:bottom w:type="dxa" w:w="100"/>
              <w:right w:type="dxa" w:w="120"/>
            </w:tcMar>
          </w:tcPr>
          <w:p>
            <w:r>
              <w:rPr>
                <w:b w:val="false"/>
                <w:bCs w:val="false"/>
                <w:sz w:val="20"/>
                <w:szCs w:val="20"/>
              </w:rPr>
              <w:t xml:space="preserve">System of record for all construction, project, and portal data</w:t>
            </w:r>
          </w:p>
        </w:tc>
      </w:tr>
      <w:tr>
        <w:tc>
          <w:tcPr>
            <w:tcMar>
              <w:top w:type="dxa" w:w="100"/>
              <w:left w:type="dxa" w:w="120"/>
              <w:bottom w:type="dxa" w:w="100"/>
              <w:right w:type="dxa" w:w="120"/>
            </w:tcMar>
          </w:tcPr>
          <w:p>
            <w:r>
              <w:rPr>
                <w:b/>
                <w:bCs/>
                <w:sz w:val="20"/>
                <w:szCs w:val="20"/>
              </w:rPr>
              <w:t xml:space="preserve">Auth</w:t>
            </w:r>
          </w:p>
        </w:tc>
        <w:tc>
          <w:tcPr>
            <w:tcMar>
              <w:top w:type="dxa" w:w="100"/>
              <w:left w:type="dxa" w:w="120"/>
              <w:bottom w:type="dxa" w:w="100"/>
              <w:right w:type="dxa" w:w="120"/>
            </w:tcMar>
          </w:tcPr>
          <w:p>
            <w:r>
              <w:rPr>
                <w:b w:val="false"/>
                <w:bCs w:val="false"/>
                <w:sz w:val="20"/>
                <w:szCs w:val="20"/>
              </w:rPr>
              <w:t xml:space="preserve">Supabase Authentication</w:t>
            </w:r>
          </w:p>
        </w:tc>
        <w:tc>
          <w:tcPr>
            <w:tcMar>
              <w:top w:type="dxa" w:w="100"/>
              <w:left w:type="dxa" w:w="120"/>
              <w:bottom w:type="dxa" w:w="100"/>
              <w:right w:type="dxa" w:w="120"/>
            </w:tcMar>
          </w:tcPr>
          <w:p>
            <w:r>
              <w:rPr>
                <w:b w:val="false"/>
                <w:bCs w:val="false"/>
                <w:sz w:val="20"/>
                <w:szCs w:val="20"/>
              </w:rPr>
              <w:t xml:space="preserve">Identity, session management, role claims</w:t>
            </w:r>
          </w:p>
        </w:tc>
      </w:tr>
      <w:tr>
        <w:tc>
          <w:tcPr>
            <w:tcMar>
              <w:top w:type="dxa" w:w="100"/>
              <w:left w:type="dxa" w:w="120"/>
              <w:bottom w:type="dxa" w:w="100"/>
              <w:right w:type="dxa" w:w="120"/>
            </w:tcMar>
          </w:tcPr>
          <w:p>
            <w:r>
              <w:rPr>
                <w:b/>
                <w:bCs/>
                <w:sz w:val="20"/>
                <w:szCs w:val="20"/>
              </w:rPr>
              <w:t xml:space="preserve">Storage</w:t>
            </w:r>
          </w:p>
        </w:tc>
        <w:tc>
          <w:tcPr>
            <w:tcMar>
              <w:top w:type="dxa" w:w="100"/>
              <w:left w:type="dxa" w:w="120"/>
              <w:bottom w:type="dxa" w:w="100"/>
              <w:right w:type="dxa" w:w="120"/>
            </w:tcMar>
          </w:tcPr>
          <w:p>
            <w:r>
              <w:rPr>
                <w:b w:val="false"/>
                <w:bCs w:val="false"/>
                <w:sz w:val="20"/>
                <w:szCs w:val="20"/>
              </w:rPr>
              <w:t xml:space="preserve">Supabase Storage</w:t>
            </w:r>
          </w:p>
        </w:tc>
        <w:tc>
          <w:tcPr>
            <w:tcMar>
              <w:top w:type="dxa" w:w="100"/>
              <w:left w:type="dxa" w:w="120"/>
              <w:bottom w:type="dxa" w:w="100"/>
              <w:right w:type="dxa" w:w="120"/>
            </w:tcMar>
          </w:tcPr>
          <w:p>
            <w:r>
              <w:rPr>
                <w:b w:val="false"/>
                <w:bCs w:val="false"/>
                <w:sz w:val="20"/>
                <w:szCs w:val="20"/>
              </w:rPr>
              <w:t xml:space="preserve">Blueprints, photos, videos, GLB models, documents, signed URLs</w:t>
            </w:r>
          </w:p>
        </w:tc>
      </w:tr>
      <w:tr>
        <w:tc>
          <w:tcPr>
            <w:tcMar>
              <w:top w:type="dxa" w:w="100"/>
              <w:left w:type="dxa" w:w="120"/>
              <w:bottom w:type="dxa" w:w="100"/>
              <w:right w:type="dxa" w:w="120"/>
            </w:tcMar>
          </w:tcPr>
          <w:p>
            <w:r>
              <w:rPr>
                <w:b/>
                <w:bCs/>
                <w:sz w:val="20"/>
                <w:szCs w:val="20"/>
              </w:rPr>
              <w:t xml:space="preserve">Realtime</w:t>
            </w:r>
          </w:p>
        </w:tc>
        <w:tc>
          <w:tcPr>
            <w:tcMar>
              <w:top w:type="dxa" w:w="100"/>
              <w:left w:type="dxa" w:w="120"/>
              <w:bottom w:type="dxa" w:w="100"/>
              <w:right w:type="dxa" w:w="120"/>
            </w:tcMar>
          </w:tcPr>
          <w:p>
            <w:r>
              <w:rPr>
                <w:b w:val="false"/>
                <w:bCs w:val="false"/>
                <w:sz w:val="20"/>
                <w:szCs w:val="20"/>
              </w:rPr>
              <w:t xml:space="preserve">Supabase Realtime</w:t>
            </w:r>
          </w:p>
        </w:tc>
        <w:tc>
          <w:tcPr>
            <w:tcMar>
              <w:top w:type="dxa" w:w="100"/>
              <w:left w:type="dxa" w:w="120"/>
              <w:bottom w:type="dxa" w:w="100"/>
              <w:right w:type="dxa" w:w="120"/>
            </w:tcMar>
          </w:tcPr>
          <w:p>
            <w:r>
              <w:rPr>
                <w:b w:val="false"/>
                <w:bCs w:val="false"/>
                <w:sz w:val="20"/>
                <w:szCs w:val="20"/>
              </w:rPr>
              <w:t xml:space="preserve">Live progress updates, notifications, portal collaboration</w:t>
            </w:r>
          </w:p>
        </w:tc>
      </w:tr>
    </w:tbl>
    <w:p>
      <w:pPr>
        <w:pStyle w:val="Heading2"/>
        <w:spacing w:after="180" w:before="360"/>
      </w:pPr>
      <w:r>
        <w:rPr>
          <w:color w:val="0E5AA7"/>
        </w:rPr>
        <w:t xml:space="preserve">2.3 Platform &amp;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00"/>
      </w:tblGrid>
      <w:tr>
        <w:trPr>
          <w:tblHeader/>
        </w:trPr>
        <w:tc>
          <w:tcPr>
            <w:shd w:fill="071B2E" w:val="clear"/>
            <w:tcMar>
              <w:top w:type="dxa" w:w="100"/>
              <w:left w:type="dxa" w:w="120"/>
              <w:bottom w:type="dxa" w:w="100"/>
              <w:right w:type="dxa" w:w="120"/>
            </w:tcMar>
          </w:tcPr>
          <w:p>
            <w:r>
              <w:rPr>
                <w:b/>
                <w:bCs/>
                <w:color w:val="FFFFFF"/>
                <w:sz w:val="20"/>
                <w:szCs w:val="20"/>
              </w:rPr>
              <w:t xml:space="preserve">Layer</w:t>
            </w:r>
          </w:p>
        </w:tc>
        <w:tc>
          <w:tcPr>
            <w:shd w:fill="071B2E" w:val="clear"/>
            <w:tcMar>
              <w:top w:type="dxa" w:w="100"/>
              <w:left w:type="dxa" w:w="120"/>
              <w:bottom w:type="dxa" w:w="100"/>
              <w:right w:type="dxa" w:w="120"/>
            </w:tcMar>
          </w:tcPr>
          <w:p>
            <w:r>
              <w:rPr>
                <w:b/>
                <w:bCs/>
                <w:color w:val="FFFFFF"/>
                <w:sz w:val="20"/>
                <w:szCs w:val="20"/>
              </w:rPr>
              <w:t xml:space="preserve">Technology</w:t>
            </w:r>
          </w:p>
        </w:tc>
        <w:tc>
          <w:tcPr>
            <w:shd w:fill="071B2E" w:val="clear"/>
            <w:tcMar>
              <w:top w:type="dxa" w:w="100"/>
              <w:left w:type="dxa" w:w="120"/>
              <w:bottom w:type="dxa" w:w="100"/>
              <w:right w:type="dxa" w:w="120"/>
            </w:tcMar>
          </w:tcPr>
          <w:p>
            <w:r>
              <w:rPr>
                <w:b/>
                <w:bCs/>
                <w:color w:val="FFFFFF"/>
                <w:sz w:val="20"/>
                <w:szCs w:val="20"/>
              </w:rPr>
              <w:t xml:space="preserve">Purpose</w:t>
            </w:r>
          </w:p>
        </w:tc>
      </w:tr>
      <w:tr>
        <w:tc>
          <w:tcPr>
            <w:tcMar>
              <w:top w:type="dxa" w:w="100"/>
              <w:left w:type="dxa" w:w="120"/>
              <w:bottom w:type="dxa" w:w="100"/>
              <w:right w:type="dxa" w:w="120"/>
            </w:tcMar>
          </w:tcPr>
          <w:p>
            <w:r>
              <w:rPr>
                <w:b/>
                <w:bCs/>
                <w:sz w:val="20"/>
                <w:szCs w:val="20"/>
              </w:rPr>
              <w:t xml:space="preserve">Source Control</w:t>
            </w:r>
          </w:p>
        </w:tc>
        <w:tc>
          <w:tcPr>
            <w:tcMar>
              <w:top w:type="dxa" w:w="100"/>
              <w:left w:type="dxa" w:w="120"/>
              <w:bottom w:type="dxa" w:w="100"/>
              <w:right w:type="dxa" w:w="120"/>
            </w:tcMar>
          </w:tcPr>
          <w:p>
            <w:r>
              <w:rPr>
                <w:b w:val="false"/>
                <w:bCs w:val="false"/>
                <w:sz w:val="20"/>
                <w:szCs w:val="20"/>
              </w:rPr>
              <w:t xml:space="preserve">GitHub</w:t>
            </w:r>
          </w:p>
        </w:tc>
        <w:tc>
          <w:tcPr>
            <w:tcMar>
              <w:top w:type="dxa" w:w="100"/>
              <w:left w:type="dxa" w:w="120"/>
              <w:bottom w:type="dxa" w:w="100"/>
              <w:right w:type="dxa" w:w="120"/>
            </w:tcMar>
          </w:tcPr>
          <w:p>
            <w:r>
              <w:rPr>
                <w:b w:val="false"/>
                <w:bCs w:val="false"/>
                <w:sz w:val="20"/>
                <w:szCs w:val="20"/>
              </w:rPr>
              <w:t xml:space="preserve">Monorepo for app, packages, and Supabase migrations</w:t>
            </w:r>
          </w:p>
        </w:tc>
      </w:tr>
      <w:tr>
        <w:tc>
          <w:tcPr>
            <w:tcMar>
              <w:top w:type="dxa" w:w="100"/>
              <w:left w:type="dxa" w:w="120"/>
              <w:bottom w:type="dxa" w:w="100"/>
              <w:right w:type="dxa" w:w="120"/>
            </w:tcMar>
          </w:tcPr>
          <w:p>
            <w:r>
              <w:rPr>
                <w:b/>
                <w:bCs/>
                <w:sz w:val="20"/>
                <w:szCs w:val="20"/>
              </w:rPr>
              <w:t xml:space="preserve">CI/CD</w:t>
            </w:r>
          </w:p>
        </w:tc>
        <w:tc>
          <w:tcPr>
            <w:tcMar>
              <w:top w:type="dxa" w:w="100"/>
              <w:left w:type="dxa" w:w="120"/>
              <w:bottom w:type="dxa" w:w="100"/>
              <w:right w:type="dxa" w:w="120"/>
            </w:tcMar>
          </w:tcPr>
          <w:p>
            <w:r>
              <w:rPr>
                <w:b w:val="false"/>
                <w:bCs w:val="false"/>
                <w:sz w:val="20"/>
                <w:szCs w:val="20"/>
              </w:rPr>
              <w:t xml:space="preserve">GitHub Actions</w:t>
            </w:r>
          </w:p>
        </w:tc>
        <w:tc>
          <w:tcPr>
            <w:tcMar>
              <w:top w:type="dxa" w:w="100"/>
              <w:left w:type="dxa" w:w="120"/>
              <w:bottom w:type="dxa" w:w="100"/>
              <w:right w:type="dxa" w:w="120"/>
            </w:tcMar>
          </w:tcPr>
          <w:p>
            <w:r>
              <w:rPr>
                <w:b w:val="false"/>
                <w:bCs w:val="false"/>
                <w:sz w:val="20"/>
                <w:szCs w:val="20"/>
              </w:rPr>
              <w:t xml:space="preserve">Lint, type-check, test, migration checks, preview deploys</w:t>
            </w:r>
          </w:p>
        </w:tc>
      </w:tr>
      <w:tr>
        <w:tc>
          <w:tcPr>
            <w:tcMar>
              <w:top w:type="dxa" w:w="100"/>
              <w:left w:type="dxa" w:w="120"/>
              <w:bottom w:type="dxa" w:w="100"/>
              <w:right w:type="dxa" w:w="120"/>
            </w:tcMar>
          </w:tcPr>
          <w:p>
            <w:r>
              <w:rPr>
                <w:b/>
                <w:bCs/>
                <w:sz w:val="20"/>
                <w:szCs w:val="20"/>
              </w:rPr>
              <w:t xml:space="preserve">Hosting</w:t>
            </w:r>
          </w:p>
        </w:tc>
        <w:tc>
          <w:tcPr>
            <w:tcMar>
              <w:top w:type="dxa" w:w="100"/>
              <w:left w:type="dxa" w:w="120"/>
              <w:bottom w:type="dxa" w:w="100"/>
              <w:right w:type="dxa" w:w="120"/>
            </w:tcMar>
          </w:tcPr>
          <w:p>
            <w:r>
              <w:rPr>
                <w:b w:val="false"/>
                <w:bCs w:val="false"/>
                <w:sz w:val="20"/>
                <w:szCs w:val="20"/>
              </w:rPr>
              <w:t xml:space="preserve">Vercel</w:t>
            </w:r>
          </w:p>
        </w:tc>
        <w:tc>
          <w:tcPr>
            <w:tcMar>
              <w:top w:type="dxa" w:w="100"/>
              <w:left w:type="dxa" w:w="120"/>
              <w:bottom w:type="dxa" w:w="100"/>
              <w:right w:type="dxa" w:w="120"/>
            </w:tcMar>
          </w:tcPr>
          <w:p>
            <w:r>
              <w:rPr>
                <w:b w:val="false"/>
                <w:bCs w:val="false"/>
                <w:sz w:val="20"/>
                <w:szCs w:val="20"/>
              </w:rPr>
              <w:t xml:space="preserve">Preview, staging, and production environments</w:t>
            </w:r>
          </w:p>
        </w:tc>
      </w:tr>
      <w:tr>
        <w:tc>
          <w:tcPr>
            <w:tcMar>
              <w:top w:type="dxa" w:w="100"/>
              <w:left w:type="dxa" w:w="120"/>
              <w:bottom w:type="dxa" w:w="100"/>
              <w:right w:type="dxa" w:w="120"/>
            </w:tcMar>
          </w:tcPr>
          <w:p>
            <w:r>
              <w:rPr>
                <w:b/>
                <w:bCs/>
                <w:sz w:val="20"/>
                <w:szCs w:val="20"/>
              </w:rPr>
              <w:t xml:space="preserve">Future Scale</w:t>
            </w:r>
          </w:p>
        </w:tc>
        <w:tc>
          <w:tcPr>
            <w:tcMar>
              <w:top w:type="dxa" w:w="100"/>
              <w:left w:type="dxa" w:w="120"/>
              <w:bottom w:type="dxa" w:w="100"/>
              <w:right w:type="dxa" w:w="120"/>
            </w:tcMar>
          </w:tcPr>
          <w:p>
            <w:r>
              <w:rPr>
                <w:b w:val="false"/>
                <w:bCs w:val="false"/>
                <w:sz w:val="20"/>
                <w:szCs w:val="20"/>
              </w:rPr>
              <w:t xml:space="preserve">AWS (S3, Lambda, CloudFront, SQS)</w:t>
            </w:r>
          </w:p>
        </w:tc>
        <w:tc>
          <w:tcPr>
            <w:tcMar>
              <w:top w:type="dxa" w:w="100"/>
              <w:left w:type="dxa" w:w="120"/>
              <w:bottom w:type="dxa" w:w="100"/>
              <w:right w:type="dxa" w:w="120"/>
            </w:tcMar>
          </w:tcPr>
          <w:p>
            <w:r>
              <w:rPr>
                <w:b w:val="false"/>
                <w:bCs w:val="false"/>
                <w:sz w:val="20"/>
                <w:szCs w:val="20"/>
              </w:rPr>
              <w:t xml:space="preserve">Reserved for media processing and rendering job queues at scale</w:t>
            </w:r>
          </w:p>
        </w:tc>
      </w:tr>
      <w:tr>
        <w:tc>
          <w:tcPr>
            <w:tcMar>
              <w:top w:type="dxa" w:w="100"/>
              <w:left w:type="dxa" w:w="120"/>
              <w:bottom w:type="dxa" w:w="100"/>
              <w:right w:type="dxa" w:w="120"/>
            </w:tcMar>
          </w:tcPr>
          <w:p>
            <w:r>
              <w:rPr>
                <w:b/>
                <w:bCs/>
                <w:sz w:val="20"/>
                <w:szCs w:val="20"/>
              </w:rPr>
              <w:t xml:space="preserve">Content Pipeline</w:t>
            </w:r>
          </w:p>
        </w:tc>
        <w:tc>
          <w:tcPr>
            <w:tcMar>
              <w:top w:type="dxa" w:w="100"/>
              <w:left w:type="dxa" w:w="120"/>
              <w:bottom w:type="dxa" w:w="100"/>
              <w:right w:type="dxa" w:w="120"/>
            </w:tcMar>
          </w:tcPr>
          <w:p>
            <w:r>
              <w:rPr>
                <w:b w:val="false"/>
                <w:bCs w:val="false"/>
                <w:sz w:val="20"/>
                <w:szCs w:val="20"/>
              </w:rPr>
              <w:t xml:space="preserve">Blender → GLB</w:t>
            </w:r>
          </w:p>
        </w:tc>
        <w:tc>
          <w:tcPr>
            <w:tcMar>
              <w:top w:type="dxa" w:w="100"/>
              <w:left w:type="dxa" w:w="120"/>
              <w:bottom w:type="dxa" w:w="100"/>
              <w:right w:type="dxa" w:w="120"/>
            </w:tcMar>
          </w:tcPr>
          <w:p>
            <w:r>
              <w:rPr>
                <w:b w:val="false"/>
                <w:bCs w:val="false"/>
                <w:sz w:val="20"/>
                <w:szCs w:val="20"/>
              </w:rPr>
              <w:t xml:space="preserve">Offline asset authoring; GLB is the only runtime 3D format</w:t>
            </w:r>
          </w:p>
        </w:tc>
      </w:tr>
    </w:tbl>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Note: AWS services are placeholders for future scale (Chapter 4) — Phase 1–3 delivery runs entirely on Supabase and Vercel with no AWS dependency.</w:t>
            </w:r>
          </w:p>
        </w:tc>
      </w:tr>
    </w:tbl>
    <w:p>
      <w:pPr>
        <w:pStyle w:val="Heading1"/>
        <w:spacing w:after="240" w:before="480"/>
      </w:pPr>
      <w:r>
        <w:rPr>
          <w:color w:val="071B2E"/>
        </w:rPr>
        <w:t xml:space="preserve">Chapter 3 — Application Structure</w:t>
      </w:r>
    </w:p>
    <w:p>
      <w:pPr>
        <w:pStyle w:val="Heading2"/>
        <w:spacing w:after="180" w:before="360"/>
      </w:pPr>
      <w:r>
        <w:rPr>
          <w:color w:val="0E5AA7"/>
        </w:rPr>
        <w:t xml:space="preserve">3.1 Repository Layout</w:t>
      </w:r>
    </w:p>
    <w:p>
      <w:pPr>
        <w:spacing w:after="160"/>
      </w:pPr>
      <w:r>
        <w:t xml:space="preserve">The gottlieb-build-design repository is a monorepo with the following top-level structure, matching the structure this PRD itself is organized under:</w:t>
      </w:r>
    </w:p>
    <w:p>
      <w:pPr>
        <w:pStyle w:val="ListParagraph"/>
        <w:numPr>
          <w:ilvl w:val="0"/>
          <w:numId w:val="2"/>
        </w:numPr>
        <w:spacing w:after="60"/>
      </w:pPr>
      <w:r>
        <w:t xml:space="preserve">/docs — this PRD, organized by volume (01-Executive through 10-Roadmap)</w:t>
      </w:r>
    </w:p>
    <w:p>
      <w:pPr>
        <w:pStyle w:val="ListParagraph"/>
        <w:numPr>
          <w:ilvl w:val="0"/>
          <w:numId w:val="2"/>
        </w:numPr>
        <w:spacing w:after="60"/>
      </w:pPr>
      <w:r>
        <w:t xml:space="preserve">/app — the Next.js application (route groups per portal: (internal), (client), (vendor), (subcontractor), (architect), (engineer), (inspector))</w:t>
      </w:r>
    </w:p>
    <w:p>
      <w:pPr>
        <w:pStyle w:val="ListParagraph"/>
        <w:numPr>
          <w:ilvl w:val="0"/>
          <w:numId w:val="2"/>
        </w:numPr>
        <w:spacing w:after="60"/>
      </w:pPr>
      <w:r>
        <w:t xml:space="preserve">/packages — shared UI component library, design tokens, typed API clients, utilities</w:t>
      </w:r>
    </w:p>
    <w:p>
      <w:pPr>
        <w:pStyle w:val="ListParagraph"/>
        <w:numPr>
          <w:ilvl w:val="0"/>
          <w:numId w:val="2"/>
        </w:numPr>
        <w:spacing w:after="60"/>
      </w:pPr>
      <w:r>
        <w:t xml:space="preserve">/supabase — database migrations, RLS policies, seed data, generated types</w:t>
      </w:r>
    </w:p>
    <w:p>
      <w:pPr>
        <w:pStyle w:val="ListParagraph"/>
        <w:numPr>
          <w:ilvl w:val="0"/>
          <w:numId w:val="2"/>
        </w:numPr>
        <w:spacing w:after="60"/>
      </w:pPr>
      <w:r>
        <w:t xml:space="preserve">/scripts — build, deployment, and data-maintenance scripts</w:t>
      </w:r>
    </w:p>
    <w:p>
      <w:pPr>
        <w:pStyle w:val="ListParagraph"/>
        <w:numPr>
          <w:ilvl w:val="0"/>
          <w:numId w:val="2"/>
        </w:numPr>
        <w:spacing w:after="60"/>
      </w:pPr>
      <w:r>
        <w:t xml:space="preserve">/.github — GitHub Actions workflows</w:t>
      </w:r>
    </w:p>
    <w:p>
      <w:pPr>
        <w:pStyle w:val="Heading2"/>
        <w:spacing w:after="180" w:before="360"/>
      </w:pPr>
      <w:r>
        <w:rPr>
          <w:color w:val="0E5AA7"/>
        </w:rPr>
        <w:t xml:space="preserve">3.2 Route Group Strategy</w:t>
      </w:r>
    </w:p>
    <w:p>
      <w:pPr>
        <w:spacing w:after="160"/>
      </w:pPr>
      <w:r>
        <w:t xml:space="preserve">Next.js route groups separate portals at the routing layer while sharing layout primitives, auth middleware, and the component library. This keeps a single deployable artifact while allowing each portal's information architecture to diverge independently, per Volume II Chapter 8's cross-portal consistency requirement — one visual language, many tailored experiences.</w:t>
      </w:r>
    </w:p>
    <w:p>
      <w:pPr>
        <w:pStyle w:val="Heading2"/>
        <w:spacing w:after="180" w:before="360"/>
      </w:pPr>
      <w:r>
        <w:rPr>
          <w:color w:val="0E5AA7"/>
        </w:rPr>
        <w:t xml:space="preserve">3.3 Shared Component Library</w:t>
      </w:r>
    </w:p>
    <w:p>
      <w:pPr>
        <w:spacing w:after="160"/>
      </w:pPr>
      <w:r>
        <w:t xml:space="preserve">All buttons, cards, tables, forms, and navigation chrome live in /packages/ui and encode the Volume II design system directly (color tokens, type scale, spacing). Modules never redefine base components — this is the primary enforcement mechanism for cross-portal visual consistency.</w:t>
      </w:r>
    </w:p>
    <w:p>
      <w:pPr>
        <w:pStyle w:val="Heading1"/>
        <w:spacing w:after="240" w:before="480"/>
      </w:pPr>
      <w:r>
        <w:rPr>
          <w:color w:val="071B2E"/>
        </w:rPr>
        <w:t xml:space="preserve">Chapter 4 — Environment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00"/>
      </w:tblGrid>
      <w:tr>
        <w:trPr>
          <w:tblHeader/>
        </w:trPr>
        <w:tc>
          <w:tcPr>
            <w:shd w:fill="071B2E" w:val="clear"/>
            <w:tcMar>
              <w:top w:type="dxa" w:w="100"/>
              <w:left w:type="dxa" w:w="120"/>
              <w:bottom w:type="dxa" w:w="100"/>
              <w:right w:type="dxa" w:w="120"/>
            </w:tcMar>
          </w:tcPr>
          <w:p>
            <w:r>
              <w:rPr>
                <w:b/>
                <w:bCs/>
                <w:color w:val="FFFFFF"/>
                <w:sz w:val="20"/>
                <w:szCs w:val="20"/>
              </w:rPr>
              <w:t xml:space="preserve">Environment</w:t>
            </w:r>
          </w:p>
        </w:tc>
        <w:tc>
          <w:tcPr>
            <w:shd w:fill="071B2E" w:val="clear"/>
            <w:tcMar>
              <w:top w:type="dxa" w:w="100"/>
              <w:left w:type="dxa" w:w="120"/>
              <w:bottom w:type="dxa" w:w="100"/>
              <w:right w:type="dxa" w:w="120"/>
            </w:tcMar>
          </w:tcPr>
          <w:p>
            <w:r>
              <w:rPr>
                <w:b/>
                <w:bCs/>
                <w:color w:val="FFFFFF"/>
                <w:sz w:val="20"/>
                <w:szCs w:val="20"/>
              </w:rPr>
              <w:t xml:space="preserve">Purpose</w:t>
            </w:r>
          </w:p>
        </w:tc>
        <w:tc>
          <w:tcPr>
            <w:shd w:fill="071B2E" w:val="clear"/>
            <w:tcMar>
              <w:top w:type="dxa" w:w="100"/>
              <w:left w:type="dxa" w:w="120"/>
              <w:bottom w:type="dxa" w:w="100"/>
              <w:right w:type="dxa" w:w="120"/>
            </w:tcMar>
          </w:tcPr>
          <w:p>
            <w:r>
              <w:rPr>
                <w:b/>
                <w:bCs/>
                <w:color w:val="FFFFFF"/>
                <w:sz w:val="20"/>
                <w:szCs w:val="20"/>
              </w:rPr>
              <w:t xml:space="preserve">Data</w:t>
            </w:r>
          </w:p>
        </w:tc>
      </w:tr>
      <w:tr>
        <w:tc>
          <w:tcPr>
            <w:tcMar>
              <w:top w:type="dxa" w:w="100"/>
              <w:left w:type="dxa" w:w="120"/>
              <w:bottom w:type="dxa" w:w="100"/>
              <w:right w:type="dxa" w:w="120"/>
            </w:tcMar>
          </w:tcPr>
          <w:p>
            <w:r>
              <w:rPr>
                <w:b/>
                <w:bCs/>
                <w:sz w:val="20"/>
                <w:szCs w:val="20"/>
              </w:rPr>
              <w:t xml:space="preserve">Local</w:t>
            </w:r>
          </w:p>
        </w:tc>
        <w:tc>
          <w:tcPr>
            <w:tcMar>
              <w:top w:type="dxa" w:w="100"/>
              <w:left w:type="dxa" w:w="120"/>
              <w:bottom w:type="dxa" w:w="100"/>
              <w:right w:type="dxa" w:w="120"/>
            </w:tcMar>
          </w:tcPr>
          <w:p>
            <w:r>
              <w:rPr>
                <w:b w:val="false"/>
                <w:bCs w:val="false"/>
                <w:sz w:val="20"/>
                <w:szCs w:val="20"/>
              </w:rPr>
              <w:t xml:space="preserve">Individual developer machines</w:t>
            </w:r>
          </w:p>
        </w:tc>
        <w:tc>
          <w:tcPr>
            <w:tcMar>
              <w:top w:type="dxa" w:w="100"/>
              <w:left w:type="dxa" w:w="120"/>
              <w:bottom w:type="dxa" w:w="100"/>
              <w:right w:type="dxa" w:w="120"/>
            </w:tcMar>
          </w:tcPr>
          <w:p>
            <w:r>
              <w:rPr>
                <w:b w:val="false"/>
                <w:bCs w:val="false"/>
                <w:sz w:val="20"/>
                <w:szCs w:val="20"/>
              </w:rPr>
              <w:t xml:space="preserve">Local Supabase instance or seeded dev project</w:t>
            </w:r>
          </w:p>
        </w:tc>
      </w:tr>
      <w:tr>
        <w:tc>
          <w:tcPr>
            <w:tcMar>
              <w:top w:type="dxa" w:w="100"/>
              <w:left w:type="dxa" w:w="120"/>
              <w:bottom w:type="dxa" w:w="100"/>
              <w:right w:type="dxa" w:w="120"/>
            </w:tcMar>
          </w:tcPr>
          <w:p>
            <w:r>
              <w:rPr>
                <w:b/>
                <w:bCs/>
                <w:sz w:val="20"/>
                <w:szCs w:val="20"/>
              </w:rPr>
              <w:t xml:space="preserve">Preview</w:t>
            </w:r>
          </w:p>
        </w:tc>
        <w:tc>
          <w:tcPr>
            <w:tcMar>
              <w:top w:type="dxa" w:w="100"/>
              <w:left w:type="dxa" w:w="120"/>
              <w:bottom w:type="dxa" w:w="100"/>
              <w:right w:type="dxa" w:w="120"/>
            </w:tcMar>
          </w:tcPr>
          <w:p>
            <w:r>
              <w:rPr>
                <w:b w:val="false"/>
                <w:bCs w:val="false"/>
                <w:sz w:val="20"/>
                <w:szCs w:val="20"/>
              </w:rPr>
              <w:t xml:space="preserve">One per pull request via Vercel</w:t>
            </w:r>
          </w:p>
        </w:tc>
        <w:tc>
          <w:tcPr>
            <w:tcMar>
              <w:top w:type="dxa" w:w="100"/>
              <w:left w:type="dxa" w:w="120"/>
              <w:bottom w:type="dxa" w:w="100"/>
              <w:right w:type="dxa" w:w="120"/>
            </w:tcMar>
          </w:tcPr>
          <w:p>
            <w:r>
              <w:rPr>
                <w:b w:val="false"/>
                <w:bCs w:val="false"/>
                <w:sz w:val="20"/>
                <w:szCs w:val="20"/>
              </w:rPr>
              <w:t xml:space="preserve">Ephemeral or shared staging database, isolated storage bucket prefix</w:t>
            </w:r>
          </w:p>
        </w:tc>
      </w:tr>
      <w:tr>
        <w:tc>
          <w:tcPr>
            <w:tcMar>
              <w:top w:type="dxa" w:w="100"/>
              <w:left w:type="dxa" w:w="120"/>
              <w:bottom w:type="dxa" w:w="100"/>
              <w:right w:type="dxa" w:w="120"/>
            </w:tcMar>
          </w:tcPr>
          <w:p>
            <w:r>
              <w:rPr>
                <w:b/>
                <w:bCs/>
                <w:sz w:val="20"/>
                <w:szCs w:val="20"/>
              </w:rPr>
              <w:t xml:space="preserve">Staging</w:t>
            </w:r>
          </w:p>
        </w:tc>
        <w:tc>
          <w:tcPr>
            <w:tcMar>
              <w:top w:type="dxa" w:w="100"/>
              <w:left w:type="dxa" w:w="120"/>
              <w:bottom w:type="dxa" w:w="100"/>
              <w:right w:type="dxa" w:w="120"/>
            </w:tcMar>
          </w:tcPr>
          <w:p>
            <w:r>
              <w:rPr>
                <w:b w:val="false"/>
                <w:bCs w:val="false"/>
                <w:sz w:val="20"/>
                <w:szCs w:val="20"/>
              </w:rPr>
              <w:t xml:space="preserve">Pre-production validation, QA, stakeholder review</w:t>
            </w:r>
          </w:p>
        </w:tc>
        <w:tc>
          <w:tcPr>
            <w:tcMar>
              <w:top w:type="dxa" w:w="100"/>
              <w:left w:type="dxa" w:w="120"/>
              <w:bottom w:type="dxa" w:w="100"/>
              <w:right w:type="dxa" w:w="120"/>
            </w:tcMar>
          </w:tcPr>
          <w:p>
            <w:r>
              <w:rPr>
                <w:b w:val="false"/>
                <w:bCs w:val="false"/>
                <w:sz w:val="20"/>
                <w:szCs w:val="20"/>
              </w:rPr>
              <w:t xml:space="preserve">Sanitized copy of production schema, synthetic data</w:t>
            </w:r>
          </w:p>
        </w:tc>
      </w:tr>
      <w:tr>
        <w:tc>
          <w:tcPr>
            <w:tcMar>
              <w:top w:type="dxa" w:w="100"/>
              <w:left w:type="dxa" w:w="120"/>
              <w:bottom w:type="dxa" w:w="100"/>
              <w:right w:type="dxa" w:w="120"/>
            </w:tcMar>
          </w:tcPr>
          <w:p>
            <w:r>
              <w:rPr>
                <w:b/>
                <w:bCs/>
                <w:sz w:val="20"/>
                <w:szCs w:val="20"/>
              </w:rPr>
              <w:t xml:space="preserve">Production</w:t>
            </w:r>
          </w:p>
        </w:tc>
        <w:tc>
          <w:tcPr>
            <w:tcMar>
              <w:top w:type="dxa" w:w="100"/>
              <w:left w:type="dxa" w:w="120"/>
              <w:bottom w:type="dxa" w:w="100"/>
              <w:right w:type="dxa" w:w="120"/>
            </w:tcMar>
          </w:tcPr>
          <w:p>
            <w:r>
              <w:rPr>
                <w:b w:val="false"/>
                <w:bCs w:val="false"/>
                <w:sz w:val="20"/>
                <w:szCs w:val="20"/>
              </w:rPr>
              <w:t xml:space="preserve">Live platform</w:t>
            </w:r>
          </w:p>
        </w:tc>
        <w:tc>
          <w:tcPr>
            <w:tcMar>
              <w:top w:type="dxa" w:w="100"/>
              <w:left w:type="dxa" w:w="120"/>
              <w:bottom w:type="dxa" w:w="100"/>
              <w:right w:type="dxa" w:w="120"/>
            </w:tcMar>
          </w:tcPr>
          <w:p>
            <w:r>
              <w:rPr>
                <w:b w:val="false"/>
                <w:bCs w:val="false"/>
                <w:sz w:val="20"/>
                <w:szCs w:val="20"/>
              </w:rPr>
              <w:t xml:space="preserve">Production Supabase project, full RLS enforcement, backups enabled</w:t>
            </w:r>
          </w:p>
        </w:tc>
      </w:tr>
    </w:tbl>
    <w:p>
      <w:pPr>
        <w:spacing w:after="160"/>
      </w:pPr>
      <w:r>
        <w:t xml:space="preserve">Environment variables (Supabase URL/keys, Document Generator API credentials, feature flags) are managed per-environment in Vercel and GitHub Actions secrets, never committed to the repository.</w:t>
      </w:r>
    </w:p>
    <w:p>
      <w:pPr>
        <w:pStyle w:val="Heading1"/>
        <w:spacing w:after="240" w:before="480"/>
      </w:pPr>
      <w:r>
        <w:rPr>
          <w:color w:val="071B2E"/>
        </w:rPr>
        <w:t xml:space="preserve">Chapter 5 — Integration Boundaries</w:t>
      </w:r>
    </w:p>
    <w:p>
      <w:pPr>
        <w:pStyle w:val="Heading2"/>
        <w:spacing w:after="180" w:before="360"/>
      </w:pPr>
      <w:r>
        <w:rPr>
          <w:color w:val="0E5AA7"/>
        </w:rPr>
        <w:t xml:space="preserve">5.1 GOS Document Generator</w:t>
      </w:r>
    </w:p>
    <w:p>
      <w:pPr>
        <w:spacing w:after="160"/>
      </w:pPr>
      <w:r>
        <w:t xml:space="preserve">Treated as an external system consumed exclusively through the API integration layer defined in Volume IX. This application never renders, stores the authoritative copy of, or edits generated documents — it sends structured data and displays the returned document's status and a link/reference to it.</w:t>
      </w:r>
    </w:p>
    <w:p>
      <w:pPr>
        <w:pStyle w:val="Heading2"/>
        <w:spacing w:after="180" w:before="360"/>
      </w:pPr>
      <w:r>
        <w:rPr>
          <w:color w:val="0E5AA7"/>
        </w:rPr>
        <w:t xml:space="preserve">5.2 Future Medical Administration OS</w:t>
      </w:r>
    </w:p>
    <w:p>
      <w:pPr>
        <w:spacing w:after="160"/>
      </w:pPr>
      <w:r>
        <w:t xml:space="preserve">No shared database, authentication realm, or deployed service with this platform, now or in any planned phase. This is treated as an architectural hard boundary, not a current-scope convenience.</w:t>
      </w:r>
    </w:p>
    <w:p>
      <w:pPr>
        <w:pStyle w:val="Heading2"/>
        <w:spacing w:after="180" w:before="360"/>
      </w:pPr>
      <w:r>
        <w:rPr>
          <w:color w:val="0E5AA7"/>
        </w:rPr>
        <w:t xml:space="preserve">5.3 Future Field-Capture Integrations</w:t>
      </w:r>
    </w:p>
    <w:p>
      <w:pPr>
        <w:spacing w:after="160"/>
      </w:pPr>
      <w:r>
        <w:t xml:space="preserve">Apple RoomPlan, Matterport, and Autodesk Platform Services are recognized as future inputs into the Blueprint Studio and 3D Design Studio pipelines (Volumes VI and VIII) and are architected for as external data sources feeding the same GLB/blueprint storage model — not as core dependencies of the initial release.</w:t>
      </w:r>
    </w:p>
    <w:p>
      <w:pPr>
        <w:pStyle w:val="Heading1"/>
        <w:spacing w:after="240" w:before="480"/>
      </w:pPr>
      <w:r>
        <w:rPr>
          <w:color w:val="071B2E"/>
        </w:rPr>
        <w:t xml:space="preserve">Chapter 6 — Non-Functional Requirements</w:t>
      </w:r>
    </w:p>
    <w:p>
      <w:pPr>
        <w:pStyle w:val="ListParagraph"/>
        <w:numPr>
          <w:ilvl w:val="0"/>
          <w:numId w:val="2"/>
        </w:numPr>
        <w:spacing w:after="60"/>
      </w:pPr>
      <w:r>
        <w:t xml:space="preserve">Availability — production targets high availability via Vercel's edge network and Supabase's managed Postgres; no self-managed servers in Phase 1–3.</w:t>
      </w:r>
    </w:p>
    <w:p>
      <w:pPr>
        <w:pStyle w:val="ListParagraph"/>
        <w:numPr>
          <w:ilvl w:val="0"/>
          <w:numId w:val="2"/>
        </w:numPr>
        <w:spacing w:after="60"/>
      </w:pPr>
      <w:r>
        <w:t xml:space="preserve">Performance — server-rendered pages target sub-second time-to-first-byte for dashboard views; the 3D Design Studio targets interactive frame rates on modern mobile and desktop hardware for GLB models within defined polygon budgets (Volume VIII).</w:t>
      </w:r>
    </w:p>
    <w:p>
      <w:pPr>
        <w:pStyle w:val="ListParagraph"/>
        <w:numPr>
          <w:ilvl w:val="0"/>
          <w:numId w:val="2"/>
        </w:numPr>
        <w:spacing w:after="60"/>
      </w:pPr>
      <w:r>
        <w:t xml:space="preserve">Scalability — stateless application tier scales horizontally via Vercel; Supabase connection pooling and read replicas are the scaling lever for the database tier as project volume grows.</w:t>
      </w:r>
    </w:p>
    <w:p>
      <w:pPr>
        <w:pStyle w:val="ListParagraph"/>
        <w:numPr>
          <w:ilvl w:val="0"/>
          <w:numId w:val="2"/>
        </w:numPr>
        <w:spacing w:after="60"/>
      </w:pPr>
      <w:r>
        <w:t xml:space="preserve">Observability — structured logging, error tracking, and deployment health checks are required from the first production release, not added retroactively.</w:t>
      </w:r>
    </w:p>
    <w:p>
      <w:pPr>
        <w:pStyle w:val="ListParagraph"/>
        <w:numPr>
          <w:ilvl w:val="0"/>
          <w:numId w:val="2"/>
        </w:numPr>
        <w:spacing w:after="60"/>
      </w:pPr>
      <w:r>
        <w:t xml:space="preserve">Accessibility — WCAG 2.1 AA is the baseline target for all portals, consistent with the legibility principle in Volume II.</w:t>
      </w:r>
    </w:p>
    <w:p>
      <w:pPr>
        <w:pStyle w:val="Heading1"/>
        <w:spacing w:after="240" w:before="480"/>
      </w:pPr>
      <w:r>
        <w:rPr>
          <w:color w:val="071B2E"/>
        </w:rPr>
        <w:t xml:space="preserve">Chapter 7 — Build &amp; Deployment Pipeline</w:t>
      </w:r>
    </w:p>
    <w:p>
      <w:pPr>
        <w:spacing w:after="160"/>
      </w:pPr>
      <w:r>
        <w:t xml:space="preserve">Every pull request triggers linting, type-checking, automated tests, and a Vercel preview deployment with an isolated URL. Merges to the main branch deploy automatically to staging; production deployment is a manual promotion step gated by stakeholder sign-off. Supabase migrations are version-controlled in /supabase/migrations and applied through GitHub Actions as part of the same pipeline that deploys the application, so schema and code never drift out of sync.</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Next volume: 04-Database — PostgreSQL Schema, ER Diagrams &amp; Data Architecture.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B2F3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9CDD2"/>
        <w:sz w:val="16"/>
        <w:szCs w:val="16"/>
      </w:rPr>
      <w:t xml:space="preserve">GOTTLIEB BUILD &amp; DESIGN · VOLUME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b/>
      <w:bCs/>
      <w:color w:val="071B2E"/>
      <w:sz w:val="34"/>
      <w:szCs w:val="34"/>
    </w:rPr>
  </w:style>
  <w:style w:type="paragraph" w:styleId="Heading2">
    <w:name w:val="Heading 2"/>
    <w:basedOn w:val="Normal"/>
    <w:next w:val="Normal"/>
    <w:qFormat/>
    <w:pPr>
      <w:spacing w:after="180" w:before="360"/>
    </w:pPr>
    <w:rPr>
      <w:b/>
      <w:bCs/>
      <w:color w:val="0E5AA7"/>
      <w:sz w:val="27"/>
      <w:szCs w:val="27"/>
    </w:rPr>
  </w:style>
  <w:style w:type="paragraph" w:styleId="Heading3">
    <w:name w:val="Heading 3"/>
    <w:basedOn w:val="Normal"/>
    <w:next w:val="Normal"/>
    <w:qFormat/>
    <w:pPr>
      <w:spacing w:after="120" w:before="240"/>
    </w:pPr>
    <w:rPr>
      <w:b/>
      <w:bCs/>
      <w:color w:val="2B2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2026-08-04T17:19:22.827Z</dcterms:created>
  <dcterms:modified xsi:type="dcterms:W3CDTF">2026-08-04T17:19:22.838Z</dcterms:modified>
</cp:coreProperties>
</file>

<file path=docProps/custom.xml><?xml version="1.0" encoding="utf-8"?>
<Properties xmlns="http://schemas.openxmlformats.org/officeDocument/2006/custom-properties" xmlns:vt="http://schemas.openxmlformats.org/officeDocument/2006/docPropsVTypes"/>
</file>