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5AA7"/>
          <w:sz w:val="26"/>
          <w:szCs w:val="26"/>
        </w:rPr>
        <w:t xml:space="preserve">GOTTLIEB BUILD &amp; DESIGN</w:t>
      </w:r>
    </w:p>
    <w:p>
      <w:pPr>
        <w:spacing w:after="400" w:before="100"/>
        <w:jc w:val="center"/>
      </w:pPr>
      <w:r>
        <w:rPr>
          <w:color w:val="2B2F36"/>
          <w:sz w:val="20"/>
          <w:szCs w:val="20"/>
        </w:rPr>
        <w:t xml:space="preserve">CONSTRUCTION OPERATING SYSTEM</w:t>
      </w:r>
    </w:p>
    <w:p>
      <w:pPr>
        <w:spacing w:before="800"/>
        <w:jc w:val="center"/>
      </w:pPr>
      <w:r>
        <w:rPr>
          <w:b/>
          <w:bCs/>
          <w:color w:val="071B2E"/>
          <w:sz w:val="56"/>
          <w:szCs w:val="56"/>
        </w:rPr>
        <w:t xml:space="preserve">VOLUME IV</w:t>
      </w:r>
    </w:p>
    <w:p>
      <w:pPr>
        <w:spacing w:after="800" w:before="200"/>
        <w:jc w:val="center"/>
      </w:pPr>
      <w:r>
        <w:rPr>
          <w:i/>
          <w:iCs/>
          <w:color w:val="0E5AA7"/>
          <w:sz w:val="24"/>
          <w:szCs w:val="24"/>
        </w:rPr>
        <w:t xml:space="preserve">Database Architecture &amp; Schema Design</w:t>
      </w:r>
    </w:p>
    <w:p>
      <w:pPr>
        <w:spacing w:before="2400"/>
        <w:jc w:val="center"/>
      </w:pPr>
      <w:r>
        <w:rPr>
          <w:color w:val="2B2F36"/>
          <w:sz w:val="20"/>
          <w:szCs w:val="20"/>
        </w:rPr>
        <w:t xml:space="preserve">CLAUDE MASTER PROMPT 001 · Document 04-Database</w:t>
      </w:r>
    </w:p>
    <w:p>
      <w:pPr>
        <w:spacing w:before="100"/>
        <w:jc w:val="center"/>
      </w:pPr>
      <w:r>
        <w:rPr>
          <w:color w:val="2B2F36"/>
          <w:sz w:val="20"/>
          <w:szCs w:val="20"/>
        </w:rPr>
        <w:t xml:space="preserve">Master Product Requirements Document — Volume IV</w:t>
      </w:r>
    </w:p>
    <w:p>
      <w:pPr>
        <w:spacing w:before="100"/>
        <w:jc w:val="center"/>
      </w:pPr>
      <w:r>
        <w:rPr>
          <w:b/>
          <w:bCs/>
          <w:color w:val="C9CDD2"/>
          <w:sz w:val="18"/>
          <w:szCs w:val="18"/>
        </w:rPr>
        <w:t xml:space="preserve">Status: Draft for Approval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color w:val="071B2E"/>
        </w:rPr>
        <w:t xml:space="preserve">Chapter 1 — Database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via Supabase is the single system of record — no shadow data stores per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table that holds project- or role-scoped data carries a project_id and/or owner references sufficient to enforce Row Level Security (Volume V) without application-layer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deletion (deleted_at) is used for records with financial, legal, or audit significance (invoices, change orders, approvals, contracts); hard deletion is reserved for genuinely disposable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table has created_at, updated_at, and created_by columns for audit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Enumerated states (project phase, approval status, document status) are modeled as Postgres enum types, not free-text strings, to keep state machines enforceable at the database layer.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 — Core Entity Domains</w:t>
      </w:r>
    </w:p>
    <w:p>
      <w:pPr>
        <w:spacing w:after="160"/>
      </w:pPr>
      <w:r>
        <w:t xml:space="preserve">The schema is organized into nine domains. Full column-level definitions are maintained in /supabase/migrations and mirrored in the generated schema reference; this chapter defines the entities and relationships at the architectural level.</w:t>
      </w:r>
    </w:p>
    <w:p>
      <w:pPr>
        <w:pStyle w:val="Heading2"/>
        <w:spacing w:after="180" w:before="360"/>
      </w:pPr>
      <w:r>
        <w:rPr>
          <w:color w:val="0E5AA7"/>
        </w:rPr>
        <w:t xml:space="preserve">2.1 Identity &amp; Access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— extends Supabase auth.users with profile, role, and preferred_language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 — the 14 system roles (Volume 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user_project_roles — project-level role overrides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organizations — vendor/subcontractor/architect firms a user belongs to</w:t>
      </w:r>
    </w:p>
    <w:p>
      <w:pPr>
        <w:pStyle w:val="Heading2"/>
        <w:spacing w:after="180" w:before="360"/>
      </w:pPr>
      <w:r>
        <w:rPr>
          <w:color w:val="0E5AA7"/>
        </w:rPr>
        <w:t xml:space="preserve">2.2 Project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projects — core project record: type, address, status, phase,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project_types — Luxury Residential, Commercial, Ground-Up, Remodel, TI, Medical Building, Mixed-Use, Hotel, Multi-Family, ADU,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project_phases — the 21-phase timeline (Volume VI) per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project_members — role assignments scoped to a single project</w:t>
      </w:r>
    </w:p>
    <w:p>
      <w:pPr>
        <w:pStyle w:val="Heading2"/>
        <w:spacing w:after="180" w:before="360"/>
      </w:pPr>
      <w:r>
        <w:rPr>
          <w:color w:val="0E5AA7"/>
        </w:rPr>
        <w:t xml:space="preserve">2.3 Estimating &amp; Financial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estimates, estimate_line_items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pricing_library, labor_rates, material_rates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change_orders, change_order_line_items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invoices, payments, project_financials</w:t>
      </w:r>
    </w:p>
    <w:p>
      <w:pPr>
        <w:pStyle w:val="Heading2"/>
        <w:spacing w:after="180" w:before="360"/>
      </w:pPr>
      <w:r>
        <w:rPr>
          <w:color w:val="0E5AA7"/>
        </w:rPr>
        <w:t xml:space="preserve">2.4 Blueprint &amp; Design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blueprints, blueprint_versions — version-controlled uploads (PDF/AutoCAD/image)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blueprint_comparisons — existing vs. proposed pairings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glb_models — Blender-authored 3D assets and their material slots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material_options, material_selections — client-facing configurator choices</w:t>
      </w:r>
    </w:p>
    <w:p>
      <w:pPr>
        <w:pStyle w:val="Heading2"/>
        <w:spacing w:after="180" w:before="360"/>
      </w:pPr>
      <w:r>
        <w:rPr>
          <w:color w:val="0E5AA7"/>
        </w:rPr>
        <w:t xml:space="preserve">2.5 Field &amp; Progress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daily_reports, progress_entries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media_assets — photos/videos, phase-linked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inspections, inspection_requests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rfis (requests for information)</w:t>
      </w:r>
    </w:p>
    <w:p>
      <w:pPr>
        <w:pStyle w:val="Heading2"/>
        <w:spacing w:after="180" w:before="360"/>
      </w:pPr>
      <w:r>
        <w:rPr>
          <w:color w:val="0E5AA7"/>
        </w:rPr>
        <w:t xml:space="preserve">2.6 Portal &amp; Collaboration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approvals, approval_requests — material, change order, and milestone approvals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messages, comments — threaded, phase- and entity-linked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notifications, notification_preferences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electronic_signatures</w:t>
      </w:r>
    </w:p>
    <w:p>
      <w:pPr>
        <w:pStyle w:val="Heading2"/>
        <w:spacing w:after="180" w:before="360"/>
      </w:pPr>
      <w:r>
        <w:rPr>
          <w:color w:val="0E5AA7"/>
        </w:rPr>
        <w:t xml:space="preserve">2.7 Vendor &amp; Subcontractor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purchase_orders, quotes, product_catalog_items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subcontractor_documents — insurance, licenses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delivery_tracking</w:t>
      </w:r>
    </w:p>
    <w:p>
      <w:pPr>
        <w:pStyle w:val="Heading2"/>
        <w:spacing w:after="180" w:before="360"/>
      </w:pPr>
      <w:r>
        <w:rPr>
          <w:color w:val="0E5AA7"/>
        </w:rPr>
        <w:t xml:space="preserve">2.8 Document Integration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document_requests — outbound payloads to the GOS Document Generator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document_status — inbound status/reference sync (Volume IX)</w:t>
      </w:r>
    </w:p>
    <w:p>
      <w:pPr>
        <w:pStyle w:val="Heading2"/>
        <w:spacing w:after="180" w:before="360"/>
      </w:pPr>
      <w:r>
        <w:rPr>
          <w:color w:val="0E5AA7"/>
        </w:rPr>
        <w:t xml:space="preserve">2.9 Platform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audit_logs — every mutating action across all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translations — per-language strings for notifications/comments/documents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activity_history — human-readable project timeline feed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2A — Entity Relationship Summary</w:t>
      </w:r>
    </w:p>
    <w:p>
      <w:pPr>
        <w:spacing w:after="160"/>
      </w:pPr>
      <w:r>
        <w:t xml:space="preserve">At the center of the schema is projects, which every other domain references directly or transitively through project_id. The relationship shape is deliberately hub-and-spoke rather than deeply nested, so that Row Level Security policies (Volume V) can be written once against project_id and user_project_roles, and reused across nearly every table rather than re-derived per domain.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shd w:fill="071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project_phases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one-to-many, ordered by sequence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one-to-many, versioned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estimate_line_items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blueprints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blueprints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blueprint_versions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one-to-many, version-controlled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glb_models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 (typically one active model per phase of design)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glb_models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material_options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 (per configurable surface)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change_orders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one-to-many, linked to originating approval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user_project_roles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one-to-many, defines per-project access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approval_requests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electronic_signatures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one-to-many</w:t>
            </w:r>
          </w:p>
        </w:tc>
      </w:tr>
    </w:tbl>
    <w:p>
      <w:pPr>
        <w:pStyle w:val="Heading1"/>
        <w:spacing w:after="240" w:before="480"/>
      </w:pPr>
      <w:r>
        <w:rPr>
          <w:color w:val="071B2E"/>
        </w:rPr>
        <w:t xml:space="preserve">Chapter 3 — Indexing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foreign key column is indexed by default; composite indexes are added for query patterns identified during module implementation (e.g. (project_id, phase) on progress_entries).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Full-text search indexes (Postgres GIN/tsvector) are applied to comments, rfis, and messages to support in-portal search without a separate search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 indexes are used for status-filtered dashboards (e.g. active approvals, open RFIs) to keep the most common queries fast as tables grow.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4 — Audit Logging</w:t>
      </w:r>
    </w:p>
    <w:p>
      <w:pPr>
        <w:spacing w:after="160"/>
      </w:pPr>
      <w:r>
        <w:t xml:space="preserve">audit_logs captures actor, action, entity type, entity id, before/after diff (where applicable), and timestamp for every mutating operation across financial, approval, and document-integration tables at minimum. Audit logging is implemented via Postgres triggers where feasible, so it cannot be bypassed by a misconfigured application code path.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5 — Storage Architecture</w:t>
      </w:r>
    </w:p>
    <w:p>
      <w:pPr>
        <w:spacing w:after="160"/>
      </w:pPr>
      <w:r>
        <w:t xml:space="preserve">Supabase Storage buckets are organized by domain and access pattern, not by project, so that RLS-equivalent storage policies stay simple: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blueprints/ — versioned blueprint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media/ — daily-report photos and videos, organized by project and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models/ — GLB assets uploaded by administrators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documents/ — cached references to Document Generator outputs (not authoritative copies)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signatures/ — signed approval artifacts</w:t>
      </w:r>
    </w:p>
    <w:p>
      <w:pPr>
        <w:spacing w:after="160"/>
      </w:pPr>
      <w:r>
        <w:t xml:space="preserve">All storage access is mediated by signed URLs generated per-request against the same role and project checks enforced in Postgres RLS, so file access and row access follow one consistent permission model (Volume V).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6 — Migration &amp; Change Management</w:t>
      </w:r>
    </w:p>
    <w:p>
      <w:pPr>
        <w:spacing w:after="160"/>
      </w:pPr>
      <w:r>
        <w:t xml:space="preserve">Schema changes are additive-first: new columns are nullable or defaulted, and destructive changes (drops, renames) require a two-step migration (add new, backfill, remove old in a subsequent release) once any module reaches production data. This protects the Chapter 10 success criterion from Volume I that Phase 1–3 delivery requires no destructive migrations.</w:t>
      </w:r>
    </w:p>
    <w:p>
      <w:pPr>
        <w:pStyle w:val="Heading1"/>
        <w:spacing w:after="240" w:before="480"/>
      </w:pPr>
      <w:r>
        <w:rPr>
          <w:color w:val="071B2E"/>
        </w:rPr>
        <w:t xml:space="preserve">Chapter 7 — Reporting &amp; Analytics Considerations</w:t>
      </w:r>
    </w:p>
    <w:p>
      <w:pPr>
        <w:spacing w:after="160"/>
      </w:pPr>
      <w:r>
        <w:t xml:space="preserve">Rather than a separate data warehouse in the initial phases, reporting (Volume VI) is served from read-optimized views and materialized views over the operational schema, refreshed on a schedule appropriate to each report's freshness requirement. This keeps the architecture simple until project volume genuinely justifies a dedicated analytics store, at which point the AWS placeholder services (Volume III, Chapter 2.3) become the natural extension point.</w:t>
      </w:r>
    </w:p>
    <w:tbl>
      <w:tblPr>
        <w:tblW w:type="pct" w:w="100%"/>
        <w:tblBorders>
          <w:top w:val="single" w:color="0E5AA7" w:sz="4"/>
          <w:left w:val="single" w:color="0E5AA7" w:sz="4"/>
          <w:bottom w:val="single" w:color="0E5AA7" w:sz="4"/>
          <w:right w:val="single" w:color="0E5AA7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071B2E"/>
              </w:rPr>
              <w:t xml:space="preserve">Next volume: 05-Permissions — Role-Based Access Control &amp; Row Level Security Model.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B2F3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C9CDD2"/>
        <w:sz w:val="16"/>
        <w:szCs w:val="16"/>
      </w:rPr>
      <w:t xml:space="preserve">GOTTLIEB BUILD &amp; DESIGN · VOLUME 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b/>
      <w:bCs/>
      <w:color w:val="071B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360"/>
    </w:pPr>
    <w:rPr>
      <w:b/>
      <w:bCs/>
      <w:color w:val="0E5AA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2B2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2026-08-04T17:20:01.410Z</dcterms:created>
  <dcterms:modified xsi:type="dcterms:W3CDTF">2026-08-04T17:20:01.411Z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