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0E5AA7"/>
          <w:sz w:val="26"/>
          <w:szCs w:val="26"/>
        </w:rPr>
        <w:t xml:space="preserve">GOTTLIEB BUILD &amp; DESIGN</w:t>
      </w:r>
    </w:p>
    <w:p>
      <w:pPr>
        <w:spacing w:after="400" w:before="100"/>
        <w:jc w:val="center"/>
      </w:pPr>
      <w:r>
        <w:rPr>
          <w:color w:val="2B2F36"/>
          <w:sz w:val="20"/>
          <w:szCs w:val="20"/>
        </w:rPr>
        <w:t xml:space="preserve">CONSTRUCTION OPERATING SYSTEM</w:t>
      </w:r>
    </w:p>
    <w:p>
      <w:pPr>
        <w:spacing w:before="800"/>
        <w:jc w:val="center"/>
      </w:pPr>
      <w:r>
        <w:rPr>
          <w:b/>
          <w:bCs/>
          <w:color w:val="071B2E"/>
          <w:sz w:val="56"/>
          <w:szCs w:val="56"/>
        </w:rPr>
        <w:t xml:space="preserve">VOLUME VI</w:t>
      </w:r>
    </w:p>
    <w:p>
      <w:pPr>
        <w:spacing w:after="800" w:before="200"/>
        <w:jc w:val="center"/>
      </w:pPr>
      <w:r>
        <w:rPr>
          <w:i/>
          <w:iCs/>
          <w:color w:val="0E5AA7"/>
          <w:sz w:val="24"/>
          <w:szCs w:val="24"/>
        </w:rPr>
        <w:t xml:space="preserve">Functional Modules Specification</w:t>
      </w:r>
    </w:p>
    <w:p>
      <w:pPr>
        <w:spacing w:before="2400"/>
        <w:jc w:val="center"/>
      </w:pPr>
      <w:r>
        <w:rPr>
          <w:color w:val="2B2F36"/>
          <w:sz w:val="20"/>
          <w:szCs w:val="20"/>
        </w:rPr>
        <w:t xml:space="preserve">CLAUDE MASTER PROMPT 001 · Document 06-Modules</w:t>
      </w:r>
    </w:p>
    <w:p>
      <w:pPr>
        <w:spacing w:before="100"/>
        <w:jc w:val="center"/>
      </w:pPr>
      <w:r>
        <w:rPr>
          <w:color w:val="2B2F36"/>
          <w:sz w:val="20"/>
          <w:szCs w:val="20"/>
        </w:rPr>
        <w:t xml:space="preserve">Master Product Requirements Document — Volume VI</w:t>
      </w:r>
    </w:p>
    <w:p>
      <w:pPr>
        <w:spacing w:before="100"/>
        <w:jc w:val="center"/>
      </w:pPr>
      <w:r>
        <w:rPr>
          <w:b/>
          <w:bCs/>
          <w:color w:val="C9CDD2"/>
          <w:sz w:val="18"/>
          <w:szCs w:val="18"/>
        </w:rPr>
        <w:t xml:space="preserve">Status: Draft for Approval</w:t>
      </w:r>
    </w:p>
    <w:p>
      <w:r>
        <w:br w:type="page"/>
      </w:r>
    </w:p>
    <w:p>
      <w:pPr>
        <w:sectPr>
          <w:pgSz w:w="12240" w:h="15840" w:orient="portrait"/>
          <w:pgMar w:top="1440" w:right="1440" w:bottom="1440" w:left="1440" w:header="708" w:footer="708" w:gutter="0"/>
          <w:pgNumType/>
          <w:docGrid w:linePitch="360"/>
        </w:sectPr>
      </w:pPr>
    </w:p>
    <w:p>
      <w:pPr>
        <w:pStyle w:val="Heading1"/>
        <w:spacing w:after="240" w:before="480"/>
      </w:pPr>
      <w:r>
        <w:rPr>
          <w:color w:val="071B2E"/>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240" w:before="480"/>
      </w:pPr>
      <w:r>
        <w:rPr>
          <w:color w:val="071B2E"/>
        </w:rPr>
        <w:t xml:space="preserve">Chapter 1 — Module Map</w:t>
      </w:r>
    </w:p>
    <w:p>
      <w:pPr>
        <w:spacing w:after="160"/>
      </w:pPr>
      <w:r>
        <w:t xml:space="preserve">Nineteen functional modules compose the platform. This volume specifies each at the level of purpose, primary users, key screens, and cross-module dependencies. Data model detail lives in Volume IV; permission detail lives in Volume V; AI-specific modules are detailed further in Volume VII and the 3D Design Studio in Volume VIII.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4300"/>
      </w:tblGrid>
      <w:tr>
        <w:trPr>
          <w:tblHeader/>
        </w:trPr>
        <w:tc>
          <w:tcPr>
            <w:shd w:fill="071B2E" w:val="clear"/>
            <w:tcMar>
              <w:top w:type="dxa" w:w="100"/>
              <w:left w:type="dxa" w:w="120"/>
              <w:bottom w:type="dxa" w:w="100"/>
              <w:right w:type="dxa" w:w="120"/>
            </w:tcMar>
          </w:tcPr>
          <w:p>
            <w:r>
              <w:rPr>
                <w:b/>
                <w:bCs/>
                <w:color w:val="FFFFFF"/>
                <w:sz w:val="20"/>
                <w:szCs w:val="20"/>
              </w:rPr>
              <w:t xml:space="preserve">#</w:t>
            </w:r>
          </w:p>
        </w:tc>
        <w:tc>
          <w:tcPr>
            <w:shd w:fill="071B2E" w:val="clear"/>
            <w:tcMar>
              <w:top w:type="dxa" w:w="100"/>
              <w:left w:type="dxa" w:w="120"/>
              <w:bottom w:type="dxa" w:w="100"/>
              <w:right w:type="dxa" w:w="120"/>
            </w:tcMar>
          </w:tcPr>
          <w:p>
            <w:r>
              <w:rPr>
                <w:b/>
                <w:bCs/>
                <w:color w:val="FFFFFF"/>
                <w:sz w:val="20"/>
                <w:szCs w:val="20"/>
              </w:rPr>
              <w:t xml:space="preserve">Module</w:t>
            </w:r>
          </w:p>
        </w:tc>
        <w:tc>
          <w:tcPr>
            <w:shd w:fill="071B2E" w:val="clear"/>
            <w:tcMar>
              <w:top w:type="dxa" w:w="100"/>
              <w:left w:type="dxa" w:w="120"/>
              <w:bottom w:type="dxa" w:w="100"/>
              <w:right w:type="dxa" w:w="120"/>
            </w:tcMar>
          </w:tcPr>
          <w:p>
            <w:r>
              <w:rPr>
                <w:b/>
                <w:bCs/>
                <w:color w:val="FFFFFF"/>
                <w:sz w:val="20"/>
                <w:szCs w:val="20"/>
              </w:rPr>
              <w:t xml:space="preserve">Primary Roles</w:t>
            </w:r>
          </w:p>
        </w:tc>
      </w:tr>
      <w:tr>
        <w:tc>
          <w:tcPr>
            <w:tcMar>
              <w:top w:type="dxa" w:w="100"/>
              <w:left w:type="dxa" w:w="120"/>
              <w:bottom w:type="dxa" w:w="100"/>
              <w:right w:type="dxa" w:w="120"/>
            </w:tcMar>
          </w:tcPr>
          <w:p>
            <w:r>
              <w:rPr>
                <w:b/>
                <w:bCs/>
                <w:sz w:val="20"/>
                <w:szCs w:val="20"/>
              </w:rPr>
              <w:t xml:space="preserve">1</w:t>
            </w:r>
          </w:p>
        </w:tc>
        <w:tc>
          <w:tcPr>
            <w:tcMar>
              <w:top w:type="dxa" w:w="100"/>
              <w:left w:type="dxa" w:w="120"/>
              <w:bottom w:type="dxa" w:w="100"/>
              <w:right w:type="dxa" w:w="120"/>
            </w:tcMar>
          </w:tcPr>
          <w:p>
            <w:r>
              <w:rPr>
                <w:b w:val="false"/>
                <w:bCs w:val="false"/>
                <w:sz w:val="20"/>
                <w:szCs w:val="20"/>
              </w:rPr>
              <w:t xml:space="preserve">Dashboard</w:t>
            </w:r>
          </w:p>
        </w:tc>
        <w:tc>
          <w:tcPr>
            <w:tcMar>
              <w:top w:type="dxa" w:w="100"/>
              <w:left w:type="dxa" w:w="120"/>
              <w:bottom w:type="dxa" w:w="100"/>
              <w:right w:type="dxa" w:w="120"/>
            </w:tcMar>
          </w:tcPr>
          <w:p>
            <w:r>
              <w:rPr>
                <w:b w:val="false"/>
                <w:bCs w:val="false"/>
                <w:sz w:val="20"/>
                <w:szCs w:val="20"/>
              </w:rPr>
              <w:t xml:space="preserve">All roles (role-tailored views)</w:t>
            </w:r>
          </w:p>
        </w:tc>
      </w:tr>
      <w:tr>
        <w:tc>
          <w:tcPr>
            <w:tcMar>
              <w:top w:type="dxa" w:w="100"/>
              <w:left w:type="dxa" w:w="120"/>
              <w:bottom w:type="dxa" w:w="100"/>
              <w:right w:type="dxa" w:w="120"/>
            </w:tcMar>
          </w:tcPr>
          <w:p>
            <w:r>
              <w:rPr>
                <w:b/>
                <w:bCs/>
                <w:sz w:val="20"/>
                <w:szCs w:val="20"/>
              </w:rPr>
              <w:t xml:space="preserve">2</w:t>
            </w:r>
          </w:p>
        </w:tc>
        <w:tc>
          <w:tcPr>
            <w:tcMar>
              <w:top w:type="dxa" w:w="100"/>
              <w:left w:type="dxa" w:w="120"/>
              <w:bottom w:type="dxa" w:w="100"/>
              <w:right w:type="dxa" w:w="120"/>
            </w:tcMar>
          </w:tcPr>
          <w:p>
            <w:r>
              <w:rPr>
                <w:b w:val="false"/>
                <w:bCs w:val="false"/>
                <w:sz w:val="20"/>
                <w:szCs w:val="20"/>
              </w:rPr>
              <w:t xml:space="preserve">Projects</w:t>
            </w:r>
          </w:p>
        </w:tc>
        <w:tc>
          <w:tcPr>
            <w:tcMar>
              <w:top w:type="dxa" w:w="100"/>
              <w:left w:type="dxa" w:w="120"/>
              <w:bottom w:type="dxa" w:w="100"/>
              <w:right w:type="dxa" w:w="120"/>
            </w:tcMar>
          </w:tcPr>
          <w:p>
            <w:r>
              <w:rPr>
                <w:b w:val="false"/>
                <w:bCs w:val="false"/>
                <w:sz w:val="20"/>
                <w:szCs w:val="20"/>
              </w:rPr>
              <w:t xml:space="preserve">PM, Admin, Estimator, Superintendent</w:t>
            </w:r>
          </w:p>
        </w:tc>
      </w:tr>
      <w:tr>
        <w:tc>
          <w:tcPr>
            <w:tcMar>
              <w:top w:type="dxa" w:w="100"/>
              <w:left w:type="dxa" w:w="120"/>
              <w:bottom w:type="dxa" w:w="100"/>
              <w:right w:type="dxa" w:w="120"/>
            </w:tcMar>
          </w:tcPr>
          <w:p>
            <w:r>
              <w:rPr>
                <w:b/>
                <w:bCs/>
                <w:sz w:val="20"/>
                <w:szCs w:val="20"/>
              </w:rPr>
              <w:t xml:space="preserve">3</w:t>
            </w:r>
          </w:p>
        </w:tc>
        <w:tc>
          <w:tcPr>
            <w:tcMar>
              <w:top w:type="dxa" w:w="100"/>
              <w:left w:type="dxa" w:w="120"/>
              <w:bottom w:type="dxa" w:w="100"/>
              <w:right w:type="dxa" w:w="120"/>
            </w:tcMar>
          </w:tcPr>
          <w:p>
            <w:r>
              <w:rPr>
                <w:b w:val="false"/>
                <w:bCs w:val="false"/>
                <w:sz w:val="20"/>
                <w:szCs w:val="20"/>
              </w:rPr>
              <w:t xml:space="preserve">Estimating</w:t>
            </w:r>
          </w:p>
        </w:tc>
        <w:tc>
          <w:tcPr>
            <w:tcMar>
              <w:top w:type="dxa" w:w="100"/>
              <w:left w:type="dxa" w:w="120"/>
              <w:bottom w:type="dxa" w:w="100"/>
              <w:right w:type="dxa" w:w="120"/>
            </w:tcMar>
          </w:tcPr>
          <w:p>
            <w:r>
              <w:rPr>
                <w:b w:val="false"/>
                <w:bCs w:val="false"/>
                <w:sz w:val="20"/>
                <w:szCs w:val="20"/>
              </w:rPr>
              <w:t xml:space="preserve">Estimator, PM</w:t>
            </w:r>
          </w:p>
        </w:tc>
      </w:tr>
      <w:tr>
        <w:tc>
          <w:tcPr>
            <w:tcMar>
              <w:top w:type="dxa" w:w="100"/>
              <w:left w:type="dxa" w:w="120"/>
              <w:bottom w:type="dxa" w:w="100"/>
              <w:right w:type="dxa" w:w="120"/>
            </w:tcMar>
          </w:tcPr>
          <w:p>
            <w:r>
              <w:rPr>
                <w:b/>
                <w:bCs/>
                <w:sz w:val="20"/>
                <w:szCs w:val="20"/>
              </w:rPr>
              <w:t xml:space="preserve">4</w:t>
            </w:r>
          </w:p>
        </w:tc>
        <w:tc>
          <w:tcPr>
            <w:tcMar>
              <w:top w:type="dxa" w:w="100"/>
              <w:left w:type="dxa" w:w="120"/>
              <w:bottom w:type="dxa" w:w="100"/>
              <w:right w:type="dxa" w:w="120"/>
            </w:tcMar>
          </w:tcPr>
          <w:p>
            <w:r>
              <w:rPr>
                <w:b w:val="false"/>
                <w:bCs w:val="false"/>
                <w:sz w:val="20"/>
                <w:szCs w:val="20"/>
              </w:rPr>
              <w:t xml:space="preserve">Blueprint Studio</w:t>
            </w:r>
          </w:p>
        </w:tc>
        <w:tc>
          <w:tcPr>
            <w:tcMar>
              <w:top w:type="dxa" w:w="100"/>
              <w:left w:type="dxa" w:w="120"/>
              <w:bottom w:type="dxa" w:w="100"/>
              <w:right w:type="dxa" w:w="120"/>
            </w:tcMar>
          </w:tcPr>
          <w:p>
            <w:r>
              <w:rPr>
                <w:b w:val="false"/>
                <w:bCs w:val="false"/>
                <w:sz w:val="20"/>
                <w:szCs w:val="20"/>
              </w:rPr>
              <w:t xml:space="preserve">Architect, Engineer, PM</w:t>
            </w:r>
          </w:p>
        </w:tc>
      </w:tr>
      <w:tr>
        <w:tc>
          <w:tcPr>
            <w:tcMar>
              <w:top w:type="dxa" w:w="100"/>
              <w:left w:type="dxa" w:w="120"/>
              <w:bottom w:type="dxa" w:w="100"/>
              <w:right w:type="dxa" w:w="120"/>
            </w:tcMar>
          </w:tcPr>
          <w:p>
            <w:r>
              <w:rPr>
                <w:b/>
                <w:bCs/>
                <w:sz w:val="20"/>
                <w:szCs w:val="20"/>
              </w:rPr>
              <w:t xml:space="preserve">5</w:t>
            </w:r>
          </w:p>
        </w:tc>
        <w:tc>
          <w:tcPr>
            <w:tcMar>
              <w:top w:type="dxa" w:w="100"/>
              <w:left w:type="dxa" w:w="120"/>
              <w:bottom w:type="dxa" w:w="100"/>
              <w:right w:type="dxa" w:w="120"/>
            </w:tcMar>
          </w:tcPr>
          <w:p>
            <w:r>
              <w:rPr>
                <w:b w:val="false"/>
                <w:bCs w:val="false"/>
                <w:sz w:val="20"/>
                <w:szCs w:val="20"/>
              </w:rPr>
              <w:t xml:space="preserve">3D Design Studio</w:t>
            </w:r>
          </w:p>
        </w:tc>
        <w:tc>
          <w:tcPr>
            <w:tcMar>
              <w:top w:type="dxa" w:w="100"/>
              <w:left w:type="dxa" w:w="120"/>
              <w:bottom w:type="dxa" w:w="100"/>
              <w:right w:type="dxa" w:w="120"/>
            </w:tcMar>
          </w:tcPr>
          <w:p>
            <w:r>
              <w:rPr>
                <w:b w:val="false"/>
                <w:bCs w:val="false"/>
                <w:sz w:val="20"/>
                <w:szCs w:val="20"/>
              </w:rPr>
              <w:t xml:space="preserve">Client, PM, Architect</w:t>
            </w:r>
          </w:p>
        </w:tc>
      </w:tr>
      <w:tr>
        <w:tc>
          <w:tcPr>
            <w:tcMar>
              <w:top w:type="dxa" w:w="100"/>
              <w:left w:type="dxa" w:w="120"/>
              <w:bottom w:type="dxa" w:w="100"/>
              <w:right w:type="dxa" w:w="120"/>
            </w:tcMar>
          </w:tcPr>
          <w:p>
            <w:r>
              <w:rPr>
                <w:b/>
                <w:bCs/>
                <w:sz w:val="20"/>
                <w:szCs w:val="20"/>
              </w:rPr>
              <w:t xml:space="preserve">6</w:t>
            </w:r>
          </w:p>
        </w:tc>
        <w:tc>
          <w:tcPr>
            <w:tcMar>
              <w:top w:type="dxa" w:w="100"/>
              <w:left w:type="dxa" w:w="120"/>
              <w:bottom w:type="dxa" w:w="100"/>
              <w:right w:type="dxa" w:w="120"/>
            </w:tcMar>
          </w:tcPr>
          <w:p>
            <w:r>
              <w:rPr>
                <w:b w:val="false"/>
                <w:bCs w:val="false"/>
                <w:sz w:val="20"/>
                <w:szCs w:val="20"/>
              </w:rPr>
              <w:t xml:space="preserve">Material Studio</w:t>
            </w:r>
          </w:p>
        </w:tc>
        <w:tc>
          <w:tcPr>
            <w:tcMar>
              <w:top w:type="dxa" w:w="100"/>
              <w:left w:type="dxa" w:w="120"/>
              <w:bottom w:type="dxa" w:w="100"/>
              <w:right w:type="dxa" w:w="120"/>
            </w:tcMar>
          </w:tcPr>
          <w:p>
            <w:r>
              <w:rPr>
                <w:b w:val="false"/>
                <w:bCs w:val="false"/>
                <w:sz w:val="20"/>
                <w:szCs w:val="20"/>
              </w:rPr>
              <w:t xml:space="preserve">Client, PM</w:t>
            </w:r>
          </w:p>
        </w:tc>
      </w:tr>
      <w:tr>
        <w:tc>
          <w:tcPr>
            <w:tcMar>
              <w:top w:type="dxa" w:w="100"/>
              <w:left w:type="dxa" w:w="120"/>
              <w:bottom w:type="dxa" w:w="100"/>
              <w:right w:type="dxa" w:w="120"/>
            </w:tcMar>
          </w:tcPr>
          <w:p>
            <w:r>
              <w:rPr>
                <w:b/>
                <w:bCs/>
                <w:sz w:val="20"/>
                <w:szCs w:val="20"/>
              </w:rPr>
              <w:t xml:space="preserve">7</w:t>
            </w:r>
          </w:p>
        </w:tc>
        <w:tc>
          <w:tcPr>
            <w:tcMar>
              <w:top w:type="dxa" w:w="100"/>
              <w:left w:type="dxa" w:w="120"/>
              <w:bottom w:type="dxa" w:w="100"/>
              <w:right w:type="dxa" w:w="120"/>
            </w:tcMar>
          </w:tcPr>
          <w:p>
            <w:r>
              <w:rPr>
                <w:b w:val="false"/>
                <w:bCs w:val="false"/>
                <w:sz w:val="20"/>
                <w:szCs w:val="20"/>
              </w:rPr>
              <w:t xml:space="preserve">Construction</w:t>
            </w:r>
          </w:p>
        </w:tc>
        <w:tc>
          <w:tcPr>
            <w:tcMar>
              <w:top w:type="dxa" w:w="100"/>
              <w:left w:type="dxa" w:w="120"/>
              <w:bottom w:type="dxa" w:w="100"/>
              <w:right w:type="dxa" w:w="120"/>
            </w:tcMar>
          </w:tcPr>
          <w:p>
            <w:r>
              <w:rPr>
                <w:b w:val="false"/>
                <w:bCs w:val="false"/>
                <w:sz w:val="20"/>
                <w:szCs w:val="20"/>
              </w:rPr>
              <w:t xml:space="preserve">Superintendent, PM, Subcontractor</w:t>
            </w:r>
          </w:p>
        </w:tc>
      </w:tr>
      <w:tr>
        <w:tc>
          <w:tcPr>
            <w:tcMar>
              <w:top w:type="dxa" w:w="100"/>
              <w:left w:type="dxa" w:w="120"/>
              <w:bottom w:type="dxa" w:w="100"/>
              <w:right w:type="dxa" w:w="120"/>
            </w:tcMar>
          </w:tcPr>
          <w:p>
            <w:r>
              <w:rPr>
                <w:b/>
                <w:bCs/>
                <w:sz w:val="20"/>
                <w:szCs w:val="20"/>
              </w:rPr>
              <w:t xml:space="preserve">8</w:t>
            </w:r>
          </w:p>
        </w:tc>
        <w:tc>
          <w:tcPr>
            <w:tcMar>
              <w:top w:type="dxa" w:w="100"/>
              <w:left w:type="dxa" w:w="120"/>
              <w:bottom w:type="dxa" w:w="100"/>
              <w:right w:type="dxa" w:w="120"/>
            </w:tcMar>
          </w:tcPr>
          <w:p>
            <w:r>
              <w:rPr>
                <w:b w:val="false"/>
                <w:bCs w:val="false"/>
                <w:sz w:val="20"/>
                <w:szCs w:val="20"/>
              </w:rPr>
              <w:t xml:space="preserve">Scheduling</w:t>
            </w:r>
          </w:p>
        </w:tc>
        <w:tc>
          <w:tcPr>
            <w:tcMar>
              <w:top w:type="dxa" w:w="100"/>
              <w:left w:type="dxa" w:w="120"/>
              <w:bottom w:type="dxa" w:w="100"/>
              <w:right w:type="dxa" w:w="120"/>
            </w:tcMar>
          </w:tcPr>
          <w:p>
            <w:r>
              <w:rPr>
                <w:b w:val="false"/>
                <w:bCs w:val="false"/>
                <w:sz w:val="20"/>
                <w:szCs w:val="20"/>
              </w:rPr>
              <w:t xml:space="preserve">PM, Superintendent</w:t>
            </w:r>
          </w:p>
        </w:tc>
      </w:tr>
      <w:tr>
        <w:tc>
          <w:tcPr>
            <w:tcMar>
              <w:top w:type="dxa" w:w="100"/>
              <w:left w:type="dxa" w:w="120"/>
              <w:bottom w:type="dxa" w:w="100"/>
              <w:right w:type="dxa" w:w="120"/>
            </w:tcMar>
          </w:tcPr>
          <w:p>
            <w:r>
              <w:rPr>
                <w:b/>
                <w:bCs/>
                <w:sz w:val="20"/>
                <w:szCs w:val="20"/>
              </w:rPr>
              <w:t xml:space="preserve">9</w:t>
            </w:r>
          </w:p>
        </w:tc>
        <w:tc>
          <w:tcPr>
            <w:tcMar>
              <w:top w:type="dxa" w:w="100"/>
              <w:left w:type="dxa" w:w="120"/>
              <w:bottom w:type="dxa" w:w="100"/>
              <w:right w:type="dxa" w:w="120"/>
            </w:tcMar>
          </w:tcPr>
          <w:p>
            <w:r>
              <w:rPr>
                <w:b w:val="false"/>
                <w:bCs w:val="false"/>
                <w:sz w:val="20"/>
                <w:szCs w:val="20"/>
              </w:rPr>
              <w:t xml:space="preserve">Progress Tracking</w:t>
            </w:r>
          </w:p>
        </w:tc>
        <w:tc>
          <w:tcPr>
            <w:tcMar>
              <w:top w:type="dxa" w:w="100"/>
              <w:left w:type="dxa" w:w="120"/>
              <w:bottom w:type="dxa" w:w="100"/>
              <w:right w:type="dxa" w:w="120"/>
            </w:tcMar>
          </w:tcPr>
          <w:p>
            <w:r>
              <w:rPr>
                <w:b w:val="false"/>
                <w:bCs w:val="false"/>
                <w:sz w:val="20"/>
                <w:szCs w:val="20"/>
              </w:rPr>
              <w:t xml:space="preserve">Superintendent, Subcontractor, Client (view)</w:t>
            </w:r>
          </w:p>
        </w:tc>
      </w:tr>
      <w:tr>
        <w:tc>
          <w:tcPr>
            <w:tcMar>
              <w:top w:type="dxa" w:w="100"/>
              <w:left w:type="dxa" w:w="120"/>
              <w:bottom w:type="dxa" w:w="100"/>
              <w:right w:type="dxa" w:w="120"/>
            </w:tcMar>
          </w:tcPr>
          <w:p>
            <w:r>
              <w:rPr>
                <w:b/>
                <w:bCs/>
                <w:sz w:val="20"/>
                <w:szCs w:val="20"/>
              </w:rPr>
              <w:t xml:space="preserve">10</w:t>
            </w:r>
          </w:p>
        </w:tc>
        <w:tc>
          <w:tcPr>
            <w:tcMar>
              <w:top w:type="dxa" w:w="100"/>
              <w:left w:type="dxa" w:w="120"/>
              <w:bottom w:type="dxa" w:w="100"/>
              <w:right w:type="dxa" w:w="120"/>
            </w:tcMar>
          </w:tcPr>
          <w:p>
            <w:r>
              <w:rPr>
                <w:b w:val="false"/>
                <w:bCs w:val="false"/>
                <w:sz w:val="20"/>
                <w:szCs w:val="20"/>
              </w:rPr>
              <w:t xml:space="preserve">Client Portal</w:t>
            </w:r>
          </w:p>
        </w:tc>
        <w:tc>
          <w:tcPr>
            <w:tcMar>
              <w:top w:type="dxa" w:w="100"/>
              <w:left w:type="dxa" w:w="120"/>
              <w:bottom w:type="dxa" w:w="100"/>
              <w:right w:type="dxa" w:w="120"/>
            </w:tcMar>
          </w:tcPr>
          <w:p>
            <w:r>
              <w:rPr>
                <w:b w:val="false"/>
                <w:bCs w:val="false"/>
                <w:sz w:val="20"/>
                <w:szCs w:val="20"/>
              </w:rPr>
              <w:t xml:space="preserve">Client</w:t>
            </w:r>
          </w:p>
        </w:tc>
      </w:tr>
      <w:tr>
        <w:tc>
          <w:tcPr>
            <w:tcMar>
              <w:top w:type="dxa" w:w="100"/>
              <w:left w:type="dxa" w:w="120"/>
              <w:bottom w:type="dxa" w:w="100"/>
              <w:right w:type="dxa" w:w="120"/>
            </w:tcMar>
          </w:tcPr>
          <w:p>
            <w:r>
              <w:rPr>
                <w:b/>
                <w:bCs/>
                <w:sz w:val="20"/>
                <w:szCs w:val="20"/>
              </w:rPr>
              <w:t xml:space="preserve">11</w:t>
            </w:r>
          </w:p>
        </w:tc>
        <w:tc>
          <w:tcPr>
            <w:tcMar>
              <w:top w:type="dxa" w:w="100"/>
              <w:left w:type="dxa" w:w="120"/>
              <w:bottom w:type="dxa" w:w="100"/>
              <w:right w:type="dxa" w:w="120"/>
            </w:tcMar>
          </w:tcPr>
          <w:p>
            <w:r>
              <w:rPr>
                <w:b w:val="false"/>
                <w:bCs w:val="false"/>
                <w:sz w:val="20"/>
                <w:szCs w:val="20"/>
              </w:rPr>
              <w:t xml:space="preserve">Vendor Portal</w:t>
            </w:r>
          </w:p>
        </w:tc>
        <w:tc>
          <w:tcPr>
            <w:tcMar>
              <w:top w:type="dxa" w:w="100"/>
              <w:left w:type="dxa" w:w="120"/>
              <w:bottom w:type="dxa" w:w="100"/>
              <w:right w:type="dxa" w:w="120"/>
            </w:tcMar>
          </w:tcPr>
          <w:p>
            <w:r>
              <w:rPr>
                <w:b w:val="false"/>
                <w:bCs w:val="false"/>
                <w:sz w:val="20"/>
                <w:szCs w:val="20"/>
              </w:rPr>
              <w:t xml:space="preserve">Vendor</w:t>
            </w:r>
          </w:p>
        </w:tc>
      </w:tr>
      <w:tr>
        <w:tc>
          <w:tcPr>
            <w:tcMar>
              <w:top w:type="dxa" w:w="100"/>
              <w:left w:type="dxa" w:w="120"/>
              <w:bottom w:type="dxa" w:w="100"/>
              <w:right w:type="dxa" w:w="120"/>
            </w:tcMar>
          </w:tcPr>
          <w:p>
            <w:r>
              <w:rPr>
                <w:b/>
                <w:bCs/>
                <w:sz w:val="20"/>
                <w:szCs w:val="20"/>
              </w:rPr>
              <w:t xml:space="preserve">12</w:t>
            </w:r>
          </w:p>
        </w:tc>
        <w:tc>
          <w:tcPr>
            <w:tcMar>
              <w:top w:type="dxa" w:w="100"/>
              <w:left w:type="dxa" w:w="120"/>
              <w:bottom w:type="dxa" w:w="100"/>
              <w:right w:type="dxa" w:w="120"/>
            </w:tcMar>
          </w:tcPr>
          <w:p>
            <w:r>
              <w:rPr>
                <w:b w:val="false"/>
                <w:bCs w:val="false"/>
                <w:sz w:val="20"/>
                <w:szCs w:val="20"/>
              </w:rPr>
              <w:t xml:space="preserve">Subcontractor Portal</w:t>
            </w:r>
          </w:p>
        </w:tc>
        <w:tc>
          <w:tcPr>
            <w:tcMar>
              <w:top w:type="dxa" w:w="100"/>
              <w:left w:type="dxa" w:w="120"/>
              <w:bottom w:type="dxa" w:w="100"/>
              <w:right w:type="dxa" w:w="120"/>
            </w:tcMar>
          </w:tcPr>
          <w:p>
            <w:r>
              <w:rPr>
                <w:b w:val="false"/>
                <w:bCs w:val="false"/>
                <w:sz w:val="20"/>
                <w:szCs w:val="20"/>
              </w:rPr>
              <w:t xml:space="preserve">Subcontractor</w:t>
            </w:r>
          </w:p>
        </w:tc>
      </w:tr>
      <w:tr>
        <w:tc>
          <w:tcPr>
            <w:tcMar>
              <w:top w:type="dxa" w:w="100"/>
              <w:left w:type="dxa" w:w="120"/>
              <w:bottom w:type="dxa" w:w="100"/>
              <w:right w:type="dxa" w:w="120"/>
            </w:tcMar>
          </w:tcPr>
          <w:p>
            <w:r>
              <w:rPr>
                <w:b/>
                <w:bCs/>
                <w:sz w:val="20"/>
                <w:szCs w:val="20"/>
              </w:rPr>
              <w:t xml:space="preserve">13</w:t>
            </w:r>
          </w:p>
        </w:tc>
        <w:tc>
          <w:tcPr>
            <w:tcMar>
              <w:top w:type="dxa" w:w="100"/>
              <w:left w:type="dxa" w:w="120"/>
              <w:bottom w:type="dxa" w:w="100"/>
              <w:right w:type="dxa" w:w="120"/>
            </w:tcMar>
          </w:tcPr>
          <w:p>
            <w:r>
              <w:rPr>
                <w:b w:val="false"/>
                <w:bCs w:val="false"/>
                <w:sz w:val="20"/>
                <w:szCs w:val="20"/>
              </w:rPr>
              <w:t xml:space="preserve">Approvals</w:t>
            </w:r>
          </w:p>
        </w:tc>
        <w:tc>
          <w:tcPr>
            <w:tcMar>
              <w:top w:type="dxa" w:w="100"/>
              <w:left w:type="dxa" w:w="120"/>
              <w:bottom w:type="dxa" w:w="100"/>
              <w:right w:type="dxa" w:w="120"/>
            </w:tcMar>
          </w:tcPr>
          <w:p>
            <w:r>
              <w:rPr>
                <w:b w:val="false"/>
                <w:bCs w:val="false"/>
                <w:sz w:val="20"/>
                <w:szCs w:val="20"/>
              </w:rPr>
              <w:t xml:space="preserve">PM, Client, Architect</w:t>
            </w:r>
          </w:p>
        </w:tc>
      </w:tr>
      <w:tr>
        <w:tc>
          <w:tcPr>
            <w:tcMar>
              <w:top w:type="dxa" w:w="100"/>
              <w:left w:type="dxa" w:w="120"/>
              <w:bottom w:type="dxa" w:w="100"/>
              <w:right w:type="dxa" w:w="120"/>
            </w:tcMar>
          </w:tcPr>
          <w:p>
            <w:r>
              <w:rPr>
                <w:b/>
                <w:bCs/>
                <w:sz w:val="20"/>
                <w:szCs w:val="20"/>
              </w:rPr>
              <w:t xml:space="preserve">14</w:t>
            </w:r>
          </w:p>
        </w:tc>
        <w:tc>
          <w:tcPr>
            <w:tcMar>
              <w:top w:type="dxa" w:w="100"/>
              <w:left w:type="dxa" w:w="120"/>
              <w:bottom w:type="dxa" w:w="100"/>
              <w:right w:type="dxa" w:w="120"/>
            </w:tcMar>
          </w:tcPr>
          <w:p>
            <w:r>
              <w:rPr>
                <w:b w:val="false"/>
                <w:bCs w:val="false"/>
                <w:sz w:val="20"/>
                <w:szCs w:val="20"/>
              </w:rPr>
              <w:t xml:space="preserve">Invoices</w:t>
            </w:r>
          </w:p>
        </w:tc>
        <w:tc>
          <w:tcPr>
            <w:tcMar>
              <w:top w:type="dxa" w:w="100"/>
              <w:left w:type="dxa" w:w="120"/>
              <w:bottom w:type="dxa" w:w="100"/>
              <w:right w:type="dxa" w:w="120"/>
            </w:tcMar>
          </w:tcPr>
          <w:p>
            <w:r>
              <w:rPr>
                <w:b w:val="false"/>
                <w:bCs w:val="false"/>
                <w:sz w:val="20"/>
                <w:szCs w:val="20"/>
              </w:rPr>
              <w:t xml:space="preserve">Accountant, PM, Client, Vendor, Subcontractor</w:t>
            </w:r>
          </w:p>
        </w:tc>
      </w:tr>
      <w:tr>
        <w:tc>
          <w:tcPr>
            <w:tcMar>
              <w:top w:type="dxa" w:w="100"/>
              <w:left w:type="dxa" w:w="120"/>
              <w:bottom w:type="dxa" w:w="100"/>
              <w:right w:type="dxa" w:w="120"/>
            </w:tcMar>
          </w:tcPr>
          <w:p>
            <w:r>
              <w:rPr>
                <w:b/>
                <w:bCs/>
                <w:sz w:val="20"/>
                <w:szCs w:val="20"/>
              </w:rPr>
              <w:t xml:space="preserve">15</w:t>
            </w:r>
          </w:p>
        </w:tc>
        <w:tc>
          <w:tcPr>
            <w:tcMar>
              <w:top w:type="dxa" w:w="100"/>
              <w:left w:type="dxa" w:w="120"/>
              <w:bottom w:type="dxa" w:w="100"/>
              <w:right w:type="dxa" w:w="120"/>
            </w:tcMar>
          </w:tcPr>
          <w:p>
            <w:r>
              <w:rPr>
                <w:b w:val="false"/>
                <w:bCs w:val="false"/>
                <w:sz w:val="20"/>
                <w:szCs w:val="20"/>
              </w:rPr>
              <w:t xml:space="preserve">Payments</w:t>
            </w:r>
          </w:p>
        </w:tc>
        <w:tc>
          <w:tcPr>
            <w:tcMar>
              <w:top w:type="dxa" w:w="100"/>
              <w:left w:type="dxa" w:w="120"/>
              <w:bottom w:type="dxa" w:w="100"/>
              <w:right w:type="dxa" w:w="120"/>
            </w:tcMar>
          </w:tcPr>
          <w:p>
            <w:r>
              <w:rPr>
                <w:b w:val="false"/>
                <w:bCs w:val="false"/>
                <w:sz w:val="20"/>
                <w:szCs w:val="20"/>
              </w:rPr>
              <w:t xml:space="preserve">Accountant, Client</w:t>
            </w:r>
          </w:p>
        </w:tc>
      </w:tr>
      <w:tr>
        <w:tc>
          <w:tcPr>
            <w:tcMar>
              <w:top w:type="dxa" w:w="100"/>
              <w:left w:type="dxa" w:w="120"/>
              <w:bottom w:type="dxa" w:w="100"/>
              <w:right w:type="dxa" w:w="120"/>
            </w:tcMar>
          </w:tcPr>
          <w:p>
            <w:r>
              <w:rPr>
                <w:b/>
                <w:bCs/>
                <w:sz w:val="20"/>
                <w:szCs w:val="20"/>
              </w:rPr>
              <w:t xml:space="preserve">16</w:t>
            </w:r>
          </w:p>
        </w:tc>
        <w:tc>
          <w:tcPr>
            <w:tcMar>
              <w:top w:type="dxa" w:w="100"/>
              <w:left w:type="dxa" w:w="120"/>
              <w:bottom w:type="dxa" w:w="100"/>
              <w:right w:type="dxa" w:w="120"/>
            </w:tcMar>
          </w:tcPr>
          <w:p>
            <w:r>
              <w:rPr>
                <w:b w:val="false"/>
                <w:bCs w:val="false"/>
                <w:sz w:val="20"/>
                <w:szCs w:val="20"/>
              </w:rPr>
              <w:t xml:space="preserve">Reports</w:t>
            </w:r>
          </w:p>
        </w:tc>
        <w:tc>
          <w:tcPr>
            <w:tcMar>
              <w:top w:type="dxa" w:w="100"/>
              <w:left w:type="dxa" w:w="120"/>
              <w:bottom w:type="dxa" w:w="100"/>
              <w:right w:type="dxa" w:w="120"/>
            </w:tcMar>
          </w:tcPr>
          <w:p>
            <w:r>
              <w:rPr>
                <w:b w:val="false"/>
                <w:bCs w:val="false"/>
                <w:sz w:val="20"/>
                <w:szCs w:val="20"/>
              </w:rPr>
              <w:t xml:space="preserve">PM, Admin, Accountant</w:t>
            </w:r>
          </w:p>
        </w:tc>
      </w:tr>
      <w:tr>
        <w:tc>
          <w:tcPr>
            <w:tcMar>
              <w:top w:type="dxa" w:w="100"/>
              <w:left w:type="dxa" w:w="120"/>
              <w:bottom w:type="dxa" w:w="100"/>
              <w:right w:type="dxa" w:w="120"/>
            </w:tcMar>
          </w:tcPr>
          <w:p>
            <w:r>
              <w:rPr>
                <w:b/>
                <w:bCs/>
                <w:sz w:val="20"/>
                <w:szCs w:val="20"/>
              </w:rPr>
              <w:t xml:space="preserve">17</w:t>
            </w:r>
          </w:p>
        </w:tc>
        <w:tc>
          <w:tcPr>
            <w:tcMar>
              <w:top w:type="dxa" w:w="100"/>
              <w:left w:type="dxa" w:w="120"/>
              <w:bottom w:type="dxa" w:w="100"/>
              <w:right w:type="dxa" w:w="120"/>
            </w:tcMar>
          </w:tcPr>
          <w:p>
            <w:r>
              <w:rPr>
                <w:b w:val="false"/>
                <w:bCs w:val="false"/>
                <w:sz w:val="20"/>
                <w:szCs w:val="20"/>
              </w:rPr>
              <w:t xml:space="preserve">Settings</w:t>
            </w:r>
          </w:p>
        </w:tc>
        <w:tc>
          <w:tcPr>
            <w:tcMar>
              <w:top w:type="dxa" w:w="100"/>
              <w:left w:type="dxa" w:w="120"/>
              <w:bottom w:type="dxa" w:w="100"/>
              <w:right w:type="dxa" w:w="120"/>
            </w:tcMar>
          </w:tcPr>
          <w:p>
            <w:r>
              <w:rPr>
                <w:b w:val="false"/>
                <w:bCs w:val="false"/>
                <w:sz w:val="20"/>
                <w:szCs w:val="20"/>
              </w:rPr>
              <w:t xml:space="preserve">Admin, Super Admin</w:t>
            </w:r>
          </w:p>
        </w:tc>
      </w:tr>
      <w:tr>
        <w:tc>
          <w:tcPr>
            <w:tcMar>
              <w:top w:type="dxa" w:w="100"/>
              <w:left w:type="dxa" w:w="120"/>
              <w:bottom w:type="dxa" w:w="100"/>
              <w:right w:type="dxa" w:w="120"/>
            </w:tcMar>
          </w:tcPr>
          <w:p>
            <w:r>
              <w:rPr>
                <w:b/>
                <w:bCs/>
                <w:sz w:val="20"/>
                <w:szCs w:val="20"/>
              </w:rPr>
              <w:t xml:space="preserve">18</w:t>
            </w:r>
          </w:p>
        </w:tc>
        <w:tc>
          <w:tcPr>
            <w:tcMar>
              <w:top w:type="dxa" w:w="100"/>
              <w:left w:type="dxa" w:w="120"/>
              <w:bottom w:type="dxa" w:w="100"/>
              <w:right w:type="dxa" w:w="120"/>
            </w:tcMar>
          </w:tcPr>
          <w:p>
            <w:r>
              <w:rPr>
                <w:b w:val="false"/>
                <w:bCs w:val="false"/>
                <w:sz w:val="20"/>
                <w:szCs w:val="20"/>
              </w:rPr>
              <w:t xml:space="preserve">Notifications</w:t>
            </w:r>
          </w:p>
        </w:tc>
        <w:tc>
          <w:tcPr>
            <w:tcMar>
              <w:top w:type="dxa" w:w="100"/>
              <w:left w:type="dxa" w:w="120"/>
              <w:bottom w:type="dxa" w:w="100"/>
              <w:right w:type="dxa" w:w="120"/>
            </w:tcMar>
          </w:tcPr>
          <w:p>
            <w:r>
              <w:rPr>
                <w:b w:val="false"/>
                <w:bCs w:val="false"/>
                <w:sz w:val="20"/>
                <w:szCs w:val="20"/>
              </w:rPr>
              <w:t xml:space="preserve">All roles</w:t>
            </w:r>
          </w:p>
        </w:tc>
      </w:tr>
      <w:tr>
        <w:tc>
          <w:tcPr>
            <w:tcMar>
              <w:top w:type="dxa" w:w="100"/>
              <w:left w:type="dxa" w:w="120"/>
              <w:bottom w:type="dxa" w:w="100"/>
              <w:right w:type="dxa" w:w="120"/>
            </w:tcMar>
          </w:tcPr>
          <w:p>
            <w:r>
              <w:rPr>
                <w:b/>
                <w:bCs/>
                <w:sz w:val="20"/>
                <w:szCs w:val="20"/>
              </w:rPr>
              <w:t xml:space="preserve">19</w:t>
            </w:r>
          </w:p>
        </w:tc>
        <w:tc>
          <w:tcPr>
            <w:tcMar>
              <w:top w:type="dxa" w:w="100"/>
              <w:left w:type="dxa" w:w="120"/>
              <w:bottom w:type="dxa" w:w="100"/>
              <w:right w:type="dxa" w:w="120"/>
            </w:tcMar>
          </w:tcPr>
          <w:p>
            <w:r>
              <w:rPr>
                <w:b w:val="false"/>
                <w:bCs w:val="false"/>
                <w:sz w:val="20"/>
                <w:szCs w:val="20"/>
              </w:rPr>
              <w:t xml:space="preserve">Document Integration</w:t>
            </w:r>
          </w:p>
        </w:tc>
        <w:tc>
          <w:tcPr>
            <w:tcMar>
              <w:top w:type="dxa" w:w="100"/>
              <w:left w:type="dxa" w:w="120"/>
              <w:bottom w:type="dxa" w:w="100"/>
              <w:right w:type="dxa" w:w="120"/>
            </w:tcMar>
          </w:tcPr>
          <w:p>
            <w:r>
              <w:rPr>
                <w:b w:val="false"/>
                <w:bCs w:val="false"/>
                <w:sz w:val="20"/>
                <w:szCs w:val="20"/>
              </w:rPr>
              <w:t xml:space="preserve">System-level, surfaced to PM/Admin</w:t>
            </w:r>
          </w:p>
        </w:tc>
      </w:tr>
    </w:tbl>
    <w:p>
      <w:pPr>
        <w:pStyle w:val="Heading1"/>
        <w:spacing w:after="240" w:before="480"/>
      </w:pPr>
      <w:r>
        <w:rPr>
          <w:color w:val="071B2E"/>
        </w:rPr>
        <w:t xml:space="preserve">Chapter 2 — Dashboard</w:t>
      </w:r>
    </w:p>
    <w:p>
      <w:pPr>
        <w:spacing w:after="160"/>
      </w:pPr>
      <w:r>
        <w:t xml:space="preserve">Purpose: a single, role-tailored landing view. A Project Manager sees active projects, pending approvals, and schedule risk; a Client sees their project's progress, next selection deadline, and messages; a Subcontractor sees assigned tasks and open RFIs. The dashboard reads from the same underlying data as its source modules — it is a view, never a separate data path.</w:t>
      </w:r>
    </w:p>
    <w:p>
      <w:pPr>
        <w:pStyle w:val="Heading1"/>
        <w:spacing w:after="240" w:before="480"/>
      </w:pPr>
      <w:r>
        <w:rPr>
          <w:color w:val="071B2E"/>
        </w:rPr>
        <w:t xml:space="preserve">Chapter 3 — Projects</w:t>
      </w:r>
    </w:p>
    <w:p>
      <w:pPr>
        <w:spacing w:after="160"/>
      </w:pPr>
      <w:r>
        <w:t xml:space="preserve">The Projects module is the system's organizing spine. Every project record carries a type (from the eleven supported project types in Volume I), a current phase (from the 21-phase timeline in Chapter 10 of this volume), a status, and its full team roster (user_project_roles). Creating a project provisions its default phase timeline and default folder structure for blueprints and media.</w:t>
      </w:r>
    </w:p>
    <w:p>
      <w:pPr>
        <w:pStyle w:val="Heading2"/>
        <w:spacing w:after="180" w:before="360"/>
      </w:pPr>
      <w:r>
        <w:rPr>
          <w:color w:val="0E5AA7"/>
        </w:rPr>
        <w:t xml:space="preserve">3.1 Key Screens</w:t>
      </w:r>
    </w:p>
    <w:p>
      <w:pPr>
        <w:pStyle w:val="ListParagraph"/>
        <w:numPr>
          <w:ilvl w:val="0"/>
          <w:numId w:val="2"/>
        </w:numPr>
        <w:spacing w:after="60"/>
      </w:pPr>
      <w:r>
        <w:t xml:space="preserve">Project list (filterable by type, status, phase, PM)</w:t>
      </w:r>
    </w:p>
    <w:p>
      <w:pPr>
        <w:pStyle w:val="ListParagraph"/>
        <w:numPr>
          <w:ilvl w:val="0"/>
          <w:numId w:val="2"/>
        </w:numPr>
        <w:spacing w:after="60"/>
      </w:pPr>
      <w:r>
        <w:t xml:space="preserve">Project overview (team, timeline, budget summary, recent activity)</w:t>
      </w:r>
    </w:p>
    <w:p>
      <w:pPr>
        <w:pStyle w:val="ListParagraph"/>
        <w:numPr>
          <w:ilvl w:val="0"/>
          <w:numId w:val="2"/>
        </w:numPr>
        <w:spacing w:after="60"/>
      </w:pPr>
      <w:r>
        <w:t xml:space="preserve">Project settings (team assignment, phase configuration, language preferences)</w:t>
      </w:r>
    </w:p>
    <w:p>
      <w:pPr>
        <w:pStyle w:val="Heading1"/>
        <w:spacing w:after="240" w:before="480"/>
      </w:pPr>
      <w:r>
        <w:rPr>
          <w:color w:val="071B2E"/>
        </w:rPr>
        <w:t xml:space="preserve">Chapter 4 — Estimating</w:t>
      </w:r>
    </w:p>
    <w:p>
      <w:pPr>
        <w:spacing w:after="160"/>
      </w:pPr>
      <w:r>
        <w:t xml:space="preserve">Supports Voice Dictation, Photo Upload, Blueprint Upload, and Room Scan as estimate input methods (AI-assisted variants detailed in Volume VII), backed by a persistent Pricing Library of labor and material rates. Estimates version cleanly (an approved estimate is immutable; revisions create a new version) and generate Change Orders when scope changes after approval. Approved estimates and proposals are sent to the Document Generator (Volume IX) rather than rendered as documents within this module.</w:t>
      </w:r>
    </w:p>
    <w:p>
      <w:pPr>
        <w:pStyle w:val="Heading2"/>
        <w:spacing w:after="180" w:before="360"/>
      </w:pPr>
      <w:r>
        <w:rPr>
          <w:color w:val="0E5AA7"/>
        </w:rPr>
        <w:t xml:space="preserve">4.1 Key Screens</w:t>
      </w:r>
    </w:p>
    <w:p>
      <w:pPr>
        <w:pStyle w:val="ListParagraph"/>
        <w:numPr>
          <w:ilvl w:val="0"/>
          <w:numId w:val="2"/>
        </w:numPr>
        <w:spacing w:after="60"/>
      </w:pPr>
      <w:r>
        <w:t xml:space="preserve">Estimate builder (line items, labor/material rates, margins)</w:t>
      </w:r>
    </w:p>
    <w:p>
      <w:pPr>
        <w:pStyle w:val="ListParagraph"/>
        <w:numPr>
          <w:ilvl w:val="0"/>
          <w:numId w:val="2"/>
        </w:numPr>
        <w:spacing w:after="60"/>
      </w:pPr>
      <w:r>
        <w:t xml:space="preserve">Pricing library management</w:t>
      </w:r>
    </w:p>
    <w:p>
      <w:pPr>
        <w:pStyle w:val="ListParagraph"/>
        <w:numPr>
          <w:ilvl w:val="0"/>
          <w:numId w:val="2"/>
        </w:numPr>
        <w:spacing w:after="60"/>
      </w:pPr>
      <w:r>
        <w:t xml:space="preserve">Change order builder, linked to an originating estimate or approval</w:t>
      </w:r>
    </w:p>
    <w:p>
      <w:pPr>
        <w:pStyle w:val="ListParagraph"/>
        <w:numPr>
          <w:ilvl w:val="0"/>
          <w:numId w:val="2"/>
        </w:numPr>
        <w:spacing w:after="60"/>
      </w:pPr>
      <w:r>
        <w:t xml:space="preserve">Proposal preview and send-to-Document-Generator action</w:t>
      </w:r>
    </w:p>
    <w:p>
      <w:pPr>
        <w:pStyle w:val="Heading1"/>
        <w:spacing w:after="240" w:before="480"/>
      </w:pPr>
      <w:r>
        <w:rPr>
          <w:color w:val="071B2E"/>
        </w:rPr>
        <w:t xml:space="preserve">Chapter 5 — Blueprint Studio</w:t>
      </w:r>
    </w:p>
    <w:p>
      <w:pPr>
        <w:spacing w:after="160"/>
      </w:pPr>
      <w:r>
        <w:t xml:space="preserve">Handles blueprint upload (PDF and AutoCAD formats, plus image capture), version control, and existing-vs-proposed comparison with measurement review tools. AI-assisted recognition (auto-detecting rooms, dimensions, and changes between versions) is a Phase-2+ capability specified in Volume VII, not required for initial release.</w:t>
      </w:r>
    </w:p>
    <w:p>
      <w:pPr>
        <w:pStyle w:val="Heading2"/>
        <w:spacing w:after="180" w:before="360"/>
      </w:pPr>
      <w:r>
        <w:rPr>
          <w:color w:val="0E5AA7"/>
        </w:rPr>
        <w:t xml:space="preserve">5.1 Key Screens</w:t>
      </w:r>
    </w:p>
    <w:p>
      <w:pPr>
        <w:pStyle w:val="ListParagraph"/>
        <w:numPr>
          <w:ilvl w:val="0"/>
          <w:numId w:val="2"/>
        </w:numPr>
        <w:spacing w:after="60"/>
      </w:pPr>
      <w:r>
        <w:t xml:space="preserve">Blueprint library with version history</w:t>
      </w:r>
    </w:p>
    <w:p>
      <w:pPr>
        <w:pStyle w:val="ListParagraph"/>
        <w:numPr>
          <w:ilvl w:val="0"/>
          <w:numId w:val="2"/>
        </w:numPr>
        <w:spacing w:after="60"/>
      </w:pPr>
      <w:r>
        <w:t xml:space="preserve">Side-by-side existing vs. proposed comparison view</w:t>
      </w:r>
    </w:p>
    <w:p>
      <w:pPr>
        <w:pStyle w:val="ListParagraph"/>
        <w:numPr>
          <w:ilvl w:val="0"/>
          <w:numId w:val="2"/>
        </w:numPr>
        <w:spacing w:after="60"/>
      </w:pPr>
      <w:r>
        <w:t xml:space="preserve">Measurement/annotation overlay</w:t>
      </w:r>
    </w:p>
    <w:p>
      <w:pPr>
        <w:pStyle w:val="Heading1"/>
        <w:spacing w:after="240" w:before="480"/>
      </w:pPr>
      <w:r>
        <w:rPr>
          <w:color w:val="071B2E"/>
        </w:rPr>
        <w:t xml:space="preserve">Chapter 6 — 3D Design Studio</w:t>
      </w:r>
    </w:p>
    <w:p>
      <w:pPr>
        <w:spacing w:after="160"/>
      </w:pPr>
      <w:r>
        <w:t xml:space="preserve">The platform's signature feature; fully specified in Volume VIII. In summary: administrators upload Blender-authored GLB models, clients walk through, rotate, and zoom the model in-browser via React Three Fiber, select rooms, and swap materials (flooring, cabinets, countertops, windows, doors, paint) with every material tied to a price and every confirmed change generating an approval and, where costed, a change order.</w:t>
      </w:r>
    </w:p>
    <w:p>
      <w:pPr>
        <w:pStyle w:val="Heading1"/>
        <w:spacing w:after="240" w:before="480"/>
      </w:pPr>
      <w:r>
        <w:rPr>
          <w:color w:val="071B2E"/>
        </w:rPr>
        <w:t xml:space="preserve">Chapter 7 — Material Studio</w:t>
      </w:r>
    </w:p>
    <w:p>
      <w:pPr>
        <w:spacing w:after="160"/>
      </w:pPr>
      <w:r>
        <w:t xml:space="preserve">The catalog and pricing layer behind the 3D Design Studio's material swaps: administrators maintain the material_options catalog (per category, per price tier), and clients browse and preview options independent of the 3D viewer for categories not yet modeled in a given GLB scene.</w:t>
      </w:r>
    </w:p>
    <w:p>
      <w:pPr>
        <w:pStyle w:val="Heading1"/>
        <w:spacing w:after="240" w:before="480"/>
      </w:pPr>
      <w:r>
        <w:rPr>
          <w:color w:val="071B2E"/>
        </w:rPr>
        <w:t xml:space="preserve">Chapter 8 — Construction</w:t>
      </w:r>
    </w:p>
    <w:p>
      <w:pPr>
        <w:spacing w:after="160"/>
      </w:pPr>
      <w:r>
        <w:t xml:space="preserve">The Superintendent- and Subcontractor-facing operational hub: daily reports, task assignment by phase, and the field data (photos, videos, completion percentages) that feeds Progress Tracking and the Client Portal's progress view.</w:t>
      </w:r>
    </w:p>
    <w:p>
      <w:pPr>
        <w:pStyle w:val="Heading1"/>
        <w:spacing w:after="240" w:before="480"/>
      </w:pPr>
      <w:r>
        <w:rPr>
          <w:color w:val="071B2E"/>
        </w:rPr>
        <w:t xml:space="preserve">Chapter 9 — Scheduling</w:t>
      </w:r>
    </w:p>
    <w:p>
      <w:pPr>
        <w:spacing w:after="160"/>
      </w:pPr>
      <w:r>
        <w:t xml:space="preserve">Phase-based scheduling against the 21-phase timeline (Chapter 10), with dependency awareness (e.g. Framing cannot start before Foundation is marked complete) and schedule-risk surfacing on the PM dashboard. AI Scheduling (auto-sequencing and risk prediction) is a Volume VII capability layered onto this module's data, not a separate schedule store.</w:t>
      </w:r>
    </w:p>
    <w:p>
      <w:pPr>
        <w:pStyle w:val="Heading1"/>
        <w:spacing w:after="240" w:before="480"/>
      </w:pPr>
      <w:r>
        <w:rPr>
          <w:color w:val="071B2E"/>
        </w:rPr>
        <w:t xml:space="preserve">Chapter 10 — Progress Tracking &amp; the Project Timeline</w:t>
      </w:r>
    </w:p>
    <w:p>
      <w:pPr>
        <w:spacing w:after="160"/>
      </w:pPr>
      <w:r>
        <w:t xml:space="preserve">Every project runs through a standard 21-phase timeline, with each phase storing photos, videos, documents, comments, progress percentage, approvals, invoices, and inspections:</w:t>
      </w:r>
    </w:p>
    <w:p>
      <w:pPr>
        <w:pStyle w:val="ListParagraph"/>
        <w:numPr>
          <w:ilvl w:val="0"/>
          <w:numId w:val="2"/>
        </w:numPr>
        <w:spacing w:after="60"/>
      </w:pPr>
      <w:r>
        <w:t xml:space="preserve">Planning</w:t>
      </w:r>
    </w:p>
    <w:p>
      <w:pPr>
        <w:pStyle w:val="ListParagraph"/>
        <w:numPr>
          <w:ilvl w:val="0"/>
          <w:numId w:val="2"/>
        </w:numPr>
        <w:spacing w:after="60"/>
      </w:pPr>
      <w:r>
        <w:t xml:space="preserve">Design</w:t>
      </w:r>
    </w:p>
    <w:p>
      <w:pPr>
        <w:pStyle w:val="ListParagraph"/>
        <w:numPr>
          <w:ilvl w:val="0"/>
          <w:numId w:val="2"/>
        </w:numPr>
        <w:spacing w:after="60"/>
      </w:pPr>
      <w:r>
        <w:t xml:space="preserve">Engineering</w:t>
      </w:r>
    </w:p>
    <w:p>
      <w:pPr>
        <w:pStyle w:val="ListParagraph"/>
        <w:numPr>
          <w:ilvl w:val="0"/>
          <w:numId w:val="2"/>
        </w:numPr>
        <w:spacing w:after="60"/>
      </w:pPr>
      <w:r>
        <w:t xml:space="preserve">Permit</w:t>
      </w:r>
    </w:p>
    <w:p>
      <w:pPr>
        <w:pStyle w:val="ListParagraph"/>
        <w:numPr>
          <w:ilvl w:val="0"/>
          <w:numId w:val="2"/>
        </w:numPr>
        <w:spacing w:after="60"/>
      </w:pPr>
      <w:r>
        <w:t xml:space="preserve">Demolition</w:t>
      </w:r>
    </w:p>
    <w:p>
      <w:pPr>
        <w:pStyle w:val="ListParagraph"/>
        <w:numPr>
          <w:ilvl w:val="0"/>
          <w:numId w:val="2"/>
        </w:numPr>
        <w:spacing w:after="60"/>
      </w:pPr>
      <w:r>
        <w:t xml:space="preserve">Foundation</w:t>
      </w:r>
    </w:p>
    <w:p>
      <w:pPr>
        <w:pStyle w:val="ListParagraph"/>
        <w:numPr>
          <w:ilvl w:val="0"/>
          <w:numId w:val="2"/>
        </w:numPr>
        <w:spacing w:after="60"/>
      </w:pPr>
      <w:r>
        <w:t xml:space="preserve">Framing</w:t>
      </w:r>
    </w:p>
    <w:p>
      <w:pPr>
        <w:pStyle w:val="ListParagraph"/>
        <w:numPr>
          <w:ilvl w:val="0"/>
          <w:numId w:val="2"/>
        </w:numPr>
        <w:spacing w:after="60"/>
      </w:pPr>
      <w:r>
        <w:t xml:space="preserve">Mechanical</w:t>
      </w:r>
    </w:p>
    <w:p>
      <w:pPr>
        <w:pStyle w:val="ListParagraph"/>
        <w:numPr>
          <w:ilvl w:val="0"/>
          <w:numId w:val="2"/>
        </w:numPr>
        <w:spacing w:after="60"/>
      </w:pPr>
      <w:r>
        <w:t xml:space="preserve">Electrical</w:t>
      </w:r>
    </w:p>
    <w:p>
      <w:pPr>
        <w:pStyle w:val="ListParagraph"/>
        <w:numPr>
          <w:ilvl w:val="0"/>
          <w:numId w:val="2"/>
        </w:numPr>
        <w:spacing w:after="60"/>
      </w:pPr>
      <w:r>
        <w:t xml:space="preserve">Plumbing</w:t>
      </w:r>
    </w:p>
    <w:p>
      <w:pPr>
        <w:pStyle w:val="ListParagraph"/>
        <w:numPr>
          <w:ilvl w:val="0"/>
          <w:numId w:val="2"/>
        </w:numPr>
        <w:spacing w:after="60"/>
      </w:pPr>
      <w:r>
        <w:t xml:space="preserve">Insulation</w:t>
      </w:r>
    </w:p>
    <w:p>
      <w:pPr>
        <w:pStyle w:val="ListParagraph"/>
        <w:numPr>
          <w:ilvl w:val="0"/>
          <w:numId w:val="2"/>
        </w:numPr>
        <w:spacing w:after="60"/>
      </w:pPr>
      <w:r>
        <w:t xml:space="preserve">Drywall</w:t>
      </w:r>
    </w:p>
    <w:p>
      <w:pPr>
        <w:pStyle w:val="ListParagraph"/>
        <w:numPr>
          <w:ilvl w:val="0"/>
          <w:numId w:val="2"/>
        </w:numPr>
        <w:spacing w:after="60"/>
      </w:pPr>
      <w:r>
        <w:t xml:space="preserve">Cabinets</w:t>
      </w:r>
    </w:p>
    <w:p>
      <w:pPr>
        <w:pStyle w:val="ListParagraph"/>
        <w:numPr>
          <w:ilvl w:val="0"/>
          <w:numId w:val="2"/>
        </w:numPr>
        <w:spacing w:after="60"/>
      </w:pPr>
      <w:r>
        <w:t xml:space="preserve">Flooring</w:t>
      </w:r>
    </w:p>
    <w:p>
      <w:pPr>
        <w:pStyle w:val="ListParagraph"/>
        <w:numPr>
          <w:ilvl w:val="0"/>
          <w:numId w:val="2"/>
        </w:numPr>
        <w:spacing w:after="60"/>
      </w:pPr>
      <w:r>
        <w:t xml:space="preserve">Painting</w:t>
      </w:r>
    </w:p>
    <w:p>
      <w:pPr>
        <w:pStyle w:val="ListParagraph"/>
        <w:numPr>
          <w:ilvl w:val="0"/>
          <w:numId w:val="2"/>
        </w:numPr>
        <w:spacing w:after="60"/>
      </w:pPr>
      <w:r>
        <w:t xml:space="preserve">Fixtures</w:t>
      </w:r>
    </w:p>
    <w:p>
      <w:pPr>
        <w:pStyle w:val="ListParagraph"/>
        <w:numPr>
          <w:ilvl w:val="0"/>
          <w:numId w:val="2"/>
        </w:numPr>
        <w:spacing w:after="60"/>
      </w:pPr>
      <w:r>
        <w:t xml:space="preserve">Landscape</w:t>
      </w:r>
    </w:p>
    <w:p>
      <w:pPr>
        <w:pStyle w:val="ListParagraph"/>
        <w:numPr>
          <w:ilvl w:val="0"/>
          <w:numId w:val="2"/>
        </w:numPr>
        <w:spacing w:after="60"/>
      </w:pPr>
      <w:r>
        <w:t xml:space="preserve">Punch</w:t>
      </w:r>
    </w:p>
    <w:p>
      <w:pPr>
        <w:pStyle w:val="ListParagraph"/>
        <w:numPr>
          <w:ilvl w:val="0"/>
          <w:numId w:val="2"/>
        </w:numPr>
        <w:spacing w:after="60"/>
      </w:pPr>
      <w:r>
        <w:t xml:space="preserve">Completion</w:t>
      </w:r>
    </w:p>
    <w:p>
      <w:pPr>
        <w:pStyle w:val="ListParagraph"/>
        <w:numPr>
          <w:ilvl w:val="0"/>
          <w:numId w:val="2"/>
        </w:numPr>
        <w:spacing w:after="60"/>
      </w:pPr>
      <w:r>
        <w:t xml:space="preserve">Warranty</w:t>
      </w:r>
    </w:p>
    <w:p>
      <w:pPr>
        <w:spacing w:after="160"/>
      </w:pPr>
      <w:r>
        <w:t xml:space="preserve">Phases are sequential by default but individually configurable per project (Chapter 3.1) to accommodate project types where a phase is skipped or reordered (e.g. a Tenant Improvement project omitting Foundation).</w:t>
      </w:r>
    </w:p>
    <w:p>
      <w:pPr>
        <w:pStyle w:val="Heading1"/>
        <w:spacing w:after="240" w:before="480"/>
      </w:pPr>
      <w:r>
        <w:rPr>
          <w:color w:val="071B2E"/>
        </w:rPr>
        <w:t xml:space="preserve">Chapter 11 — Client Portal</w:t>
      </w:r>
    </w:p>
    <w:p>
      <w:pPr>
        <w:spacing w:after="160"/>
      </w:pPr>
      <w:r>
        <w:t xml:space="preserve">A luxury-grade dashboard combining the 3D Viewer, project progress, material selections, invoices, documents, approvals, timeline, messages, photos, videos, change requests, and electronic signatures — the client's single destination for everything concerning their project. Visual and interaction standards follow Volume II Chapter 8 exactly; nothing in this portal should read as a lesser or more generic experience than the internal tools.</w:t>
      </w:r>
    </w:p>
    <w:p>
      <w:pPr>
        <w:pStyle w:val="Heading1"/>
        <w:spacing w:after="240" w:before="480"/>
      </w:pPr>
      <w:r>
        <w:rPr>
          <w:color w:val="071B2E"/>
        </w:rPr>
        <w:t xml:space="preserve">Chapter 12 — Vendor Portal</w:t>
      </w:r>
    </w:p>
    <w:p>
      <w:pPr>
        <w:pStyle w:val="ListParagraph"/>
        <w:numPr>
          <w:ilvl w:val="0"/>
          <w:numId w:val="2"/>
        </w:numPr>
        <w:spacing w:after="60"/>
      </w:pPr>
      <w:r>
        <w:t xml:space="preserve">Purchase orders (received, acknowledged, fulfilled)</w:t>
      </w:r>
    </w:p>
    <w:p>
      <w:pPr>
        <w:pStyle w:val="ListParagraph"/>
        <w:numPr>
          <w:ilvl w:val="0"/>
          <w:numId w:val="2"/>
        </w:numPr>
        <w:spacing w:after="60"/>
      </w:pPr>
      <w:r>
        <w:t xml:space="preserve">Quotes (submitted against RFQs)</w:t>
      </w:r>
    </w:p>
    <w:p>
      <w:pPr>
        <w:pStyle w:val="ListParagraph"/>
        <w:numPr>
          <w:ilvl w:val="0"/>
          <w:numId w:val="2"/>
        </w:numPr>
        <w:spacing w:after="60"/>
      </w:pPr>
      <w:r>
        <w:t xml:space="preserve">Specifications and product catalog</w:t>
      </w:r>
    </w:p>
    <w:p>
      <w:pPr>
        <w:pStyle w:val="ListParagraph"/>
        <w:numPr>
          <w:ilvl w:val="0"/>
          <w:numId w:val="2"/>
        </w:numPr>
        <w:spacing w:after="60"/>
      </w:pPr>
      <w:r>
        <w:t xml:space="preserve">Delivery tracking</w:t>
      </w:r>
    </w:p>
    <w:p>
      <w:pPr>
        <w:pStyle w:val="ListParagraph"/>
        <w:numPr>
          <w:ilvl w:val="0"/>
          <w:numId w:val="2"/>
        </w:numPr>
        <w:spacing w:after="60"/>
      </w:pPr>
      <w:r>
        <w:t xml:space="preserve">Invoices</w:t>
      </w:r>
    </w:p>
    <w:p>
      <w:pPr>
        <w:pStyle w:val="ListParagraph"/>
        <w:numPr>
          <w:ilvl w:val="0"/>
          <w:numId w:val="2"/>
        </w:numPr>
        <w:spacing w:after="60"/>
      </w:pPr>
      <w:r>
        <w:t xml:space="preserve">Warranty documents</w:t>
      </w:r>
    </w:p>
    <w:p>
      <w:pPr>
        <w:pStyle w:val="Heading1"/>
        <w:spacing w:after="240" w:before="480"/>
      </w:pPr>
      <w:r>
        <w:rPr>
          <w:color w:val="071B2E"/>
        </w:rPr>
        <w:t xml:space="preserve">Chapter 13 — Subcontractor Portal</w:t>
      </w:r>
    </w:p>
    <w:p>
      <w:pPr>
        <w:pStyle w:val="ListParagraph"/>
        <w:numPr>
          <w:ilvl w:val="0"/>
          <w:numId w:val="2"/>
        </w:numPr>
        <w:spacing w:after="60"/>
      </w:pPr>
      <w:r>
        <w:t xml:space="preserve">Progress and daily report submission</w:t>
      </w:r>
    </w:p>
    <w:p>
      <w:pPr>
        <w:pStyle w:val="ListParagraph"/>
        <w:numPr>
          <w:ilvl w:val="0"/>
          <w:numId w:val="2"/>
        </w:numPr>
        <w:spacing w:after="60"/>
      </w:pPr>
      <w:r>
        <w:t xml:space="preserve">Photos and videos</w:t>
      </w:r>
    </w:p>
    <w:p>
      <w:pPr>
        <w:pStyle w:val="ListParagraph"/>
        <w:numPr>
          <w:ilvl w:val="0"/>
          <w:numId w:val="2"/>
        </w:numPr>
        <w:spacing w:after="60"/>
      </w:pPr>
      <w:r>
        <w:t xml:space="preserve">Invoices</w:t>
      </w:r>
    </w:p>
    <w:p>
      <w:pPr>
        <w:pStyle w:val="ListParagraph"/>
        <w:numPr>
          <w:ilvl w:val="0"/>
          <w:numId w:val="2"/>
        </w:numPr>
        <w:spacing w:after="60"/>
      </w:pPr>
      <w:r>
        <w:t xml:space="preserve">Insurance and license document management</w:t>
      </w:r>
    </w:p>
    <w:p>
      <w:pPr>
        <w:pStyle w:val="ListParagraph"/>
        <w:numPr>
          <w:ilvl w:val="0"/>
          <w:numId w:val="2"/>
        </w:numPr>
        <w:spacing w:after="60"/>
      </w:pPr>
      <w:r>
        <w:t xml:space="preserve">Questions and RFIs</w:t>
      </w:r>
    </w:p>
    <w:p>
      <w:pPr>
        <w:pStyle w:val="ListParagraph"/>
        <w:numPr>
          <w:ilvl w:val="0"/>
          <w:numId w:val="2"/>
        </w:numPr>
        <w:spacing w:after="60"/>
      </w:pPr>
      <w:r>
        <w:t xml:space="preserve">Completion percentage reporting</w:t>
      </w:r>
    </w:p>
    <w:p>
      <w:pPr>
        <w:pStyle w:val="ListParagraph"/>
        <w:numPr>
          <w:ilvl w:val="0"/>
          <w:numId w:val="2"/>
        </w:numPr>
        <w:spacing w:after="60"/>
      </w:pPr>
      <w:r>
        <w:t xml:space="preserve">Inspection requests</w:t>
      </w:r>
    </w:p>
    <w:p>
      <w:pPr>
        <w:pStyle w:val="Heading1"/>
        <w:spacing w:after="240" w:before="480"/>
      </w:pPr>
      <w:r>
        <w:rPr>
          <w:color w:val="071B2E"/>
        </w:rPr>
        <w:t xml:space="preserve">Chapter 14 — Approvals</w:t>
      </w:r>
    </w:p>
    <w:p>
      <w:pPr>
        <w:spacing w:after="160"/>
      </w:pPr>
      <w:r>
        <w:t xml:space="preserve">A cross-cutting module rather than a standalone data domain: material selections, change orders, milestone completions, and document sign-offs all flow through a common approval_requests pattern with a consistent UI (request, review, approve/reject with comment, e-signature where required). This consistency is what allows Volume VII's AI Assistant to reason about "pending approvals" as one concept across the whole platform.</w:t>
      </w:r>
    </w:p>
    <w:p>
      <w:pPr>
        <w:pStyle w:val="Heading1"/>
        <w:spacing w:after="240" w:before="480"/>
      </w:pPr>
      <w:r>
        <w:rPr>
          <w:color w:val="071B2E"/>
        </w:rPr>
        <w:t xml:space="preserve">Chapter 15 — Invoices &amp; Payments</w:t>
      </w:r>
    </w:p>
    <w:p>
      <w:pPr>
        <w:spacing w:after="160"/>
      </w:pPr>
      <w:r>
        <w:t xml:space="preserve">Invoices are generated as a Document Generator output (Volume IX) once triggered by an approved estimate, change order, or vendor/subcontractor submission, and tracked in-platform for status and payment. Payments record method, amount, and status against an invoice; the Accountant role is the primary owner of this module, with Client and Vendor/Subcontractor portals surfacing only their own records per Volume V Chapter 5.</w:t>
      </w:r>
    </w:p>
    <w:p>
      <w:pPr>
        <w:pStyle w:val="Heading1"/>
        <w:spacing w:after="240" w:before="480"/>
      </w:pPr>
      <w:r>
        <w:rPr>
          <w:color w:val="071B2E"/>
        </w:rPr>
        <w:t xml:space="preserve">Chapter 16 — Reports</w:t>
      </w:r>
    </w:p>
    <w:p>
      <w:pPr>
        <w:spacing w:after="160"/>
      </w:pPr>
      <w:r>
        <w:t xml:space="preserve">Standard reports (project financial summary, schedule variance, open approvals, subcontractor performance) are served from the read-optimized views described in Volume IV Chapter 7. Report access follows the requesting user's existing project and financial permissions — reports never bypass RLS by aggregating data the user could not otherwise see.</w:t>
      </w:r>
    </w:p>
    <w:p>
      <w:pPr>
        <w:pStyle w:val="Heading1"/>
        <w:spacing w:after="240" w:before="480"/>
      </w:pPr>
      <w:r>
        <w:rPr>
          <w:color w:val="071B2E"/>
        </w:rPr>
        <w:t xml:space="preserve">Chapter 17 — Settings</w:t>
      </w:r>
    </w:p>
    <w:p>
      <w:pPr>
        <w:pStyle w:val="ListParagraph"/>
        <w:numPr>
          <w:ilvl w:val="0"/>
          <w:numId w:val="2"/>
        </w:numPr>
        <w:spacing w:after="60"/>
      </w:pPr>
      <w:r>
        <w:t xml:space="preserve">User and role management</w:t>
      </w:r>
    </w:p>
    <w:p>
      <w:pPr>
        <w:pStyle w:val="ListParagraph"/>
        <w:numPr>
          <w:ilvl w:val="0"/>
          <w:numId w:val="2"/>
        </w:numPr>
        <w:spacing w:after="60"/>
      </w:pPr>
      <w:r>
        <w:t xml:space="preserve">Organization and brand configuration</w:t>
      </w:r>
    </w:p>
    <w:p>
      <w:pPr>
        <w:pStyle w:val="ListParagraph"/>
        <w:numPr>
          <w:ilvl w:val="0"/>
          <w:numId w:val="2"/>
        </w:numPr>
        <w:spacing w:after="60"/>
      </w:pPr>
      <w:r>
        <w:t xml:space="preserve">Pricing library defaults</w:t>
      </w:r>
    </w:p>
    <w:p>
      <w:pPr>
        <w:pStyle w:val="ListParagraph"/>
        <w:numPr>
          <w:ilvl w:val="0"/>
          <w:numId w:val="2"/>
        </w:numPr>
        <w:spacing w:after="60"/>
      </w:pPr>
      <w:r>
        <w:t xml:space="preserve">Language and translation management</w:t>
      </w:r>
    </w:p>
    <w:p>
      <w:pPr>
        <w:pStyle w:val="ListParagraph"/>
        <w:numPr>
          <w:ilvl w:val="0"/>
          <w:numId w:val="2"/>
        </w:numPr>
        <w:spacing w:after="60"/>
      </w:pPr>
      <w:r>
        <w:t xml:space="preserve">Notification defaults</w:t>
      </w:r>
    </w:p>
    <w:p>
      <w:pPr>
        <w:pStyle w:val="ListParagraph"/>
        <w:numPr>
          <w:ilvl w:val="0"/>
          <w:numId w:val="2"/>
        </w:numPr>
        <w:spacing w:after="60"/>
      </w:pPr>
      <w:r>
        <w:t xml:space="preserve">Document Generator integration configuration</w:t>
      </w:r>
    </w:p>
    <w:p>
      <w:pPr>
        <w:pStyle w:val="Heading1"/>
        <w:spacing w:after="240" w:before="480"/>
      </w:pPr>
      <w:r>
        <w:rPr>
          <w:color w:val="071B2E"/>
        </w:rPr>
        <w:t xml:space="preserve">Chapter 18 — Notifications</w:t>
      </w:r>
    </w:p>
    <w:p>
      <w:pPr>
        <w:spacing w:after="160"/>
      </w:pPr>
      <w:r>
        <w:t xml:space="preserve">Delivered in-app (via Supabase Realtime) and, per user preference, by email. Notifications are translated per the recipient's preferred language (Volume I Chapter 7) and are generated from the same event types that populate activity_history, so the notification feed and the project activity timeline never disagree about what happened.</w:t>
      </w:r>
    </w:p>
    <w:p>
      <w:pPr>
        <w:pStyle w:val="Heading1"/>
        <w:spacing w:after="240" w:before="480"/>
      </w:pPr>
      <w:r>
        <w:rPr>
          <w:color w:val="071B2E"/>
        </w:rPr>
        <w:t xml:space="preserve">Chapter 19 — Document Integration</w:t>
      </w:r>
    </w:p>
    <w:p>
      <w:pPr>
        <w:spacing w:after="160"/>
      </w:pPr>
      <w:r>
        <w:t xml:space="preserve">The user-facing surface of the API integration layer specified in Volume IX: a PM or Administrator can see which documents have been requested, their generation status, and a link to the result, without leaving this platform, while the actual authoring happens entirely inside the GOS Document Generator.</w:t>
      </w:r>
    </w:p>
    <w:tbl>
      <w:tblPr>
        <w:tblW w:type="pct" w:w="100%"/>
        <w:tblBorders>
          <w:top w:val="single" w:color="0E5AA7" w:sz="4"/>
          <w:left w:val="single" w:color="0E5AA7" w:sz="4"/>
          <w:bottom w:val="single" w:color="0E5AA7" w:sz="4"/>
          <w:right w:val="single" w:color="0E5AA7" w:sz="4"/>
          <w:insideH w:val="single" w:color="auto" w:sz="4"/>
          <w:insideV w:val="single" w:color="auto" w:sz="4"/>
        </w:tblBorders>
      </w:tblPr>
      <w:tblGrid>
        <w:gridCol w:w="100"/>
      </w:tblGrid>
      <w:tr>
        <w:tc>
          <w:tcPr>
            <w:shd w:fill="EAF1F8" w:val="clear"/>
            <w:tcMar>
              <w:top w:type="dxa" w:w="160"/>
              <w:left w:type="dxa" w:w="200"/>
              <w:bottom w:type="dxa" w:w="160"/>
              <w:right w:type="dxa" w:w="200"/>
            </w:tcMar>
          </w:tcPr>
          <w:p>
            <w:r>
              <w:rPr>
                <w:i/>
                <w:iCs/>
                <w:color w:val="071B2E"/>
              </w:rPr>
              <w:t xml:space="preserve">Next volume: 07-AI — AI Estimating, Blueprint Intelligence &amp; the AI Construction Assistant Strategy.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2B2F3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C9CDD2"/>
        <w:sz w:val="16"/>
        <w:szCs w:val="16"/>
      </w:rPr>
      <w:t xml:space="preserve">GOTTLIEB BUILD &amp; DESIGN · VOLUME VI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pPr>
    <w:rPr>
      <w:b/>
      <w:bCs/>
      <w:color w:val="071B2E"/>
      <w:sz w:val="34"/>
      <w:szCs w:val="34"/>
    </w:rPr>
  </w:style>
  <w:style w:type="paragraph" w:styleId="Heading2">
    <w:name w:val="Heading 2"/>
    <w:basedOn w:val="Normal"/>
    <w:next w:val="Normal"/>
    <w:qFormat/>
    <w:pPr>
      <w:spacing w:after="180" w:before="360"/>
    </w:pPr>
    <w:rPr>
      <w:b/>
      <w:bCs/>
      <w:color w:val="0E5AA7"/>
      <w:sz w:val="27"/>
      <w:szCs w:val="27"/>
    </w:rPr>
  </w:style>
  <w:style w:type="paragraph" w:styleId="Heading3">
    <w:name w:val="Heading 3"/>
    <w:basedOn w:val="Normal"/>
    <w:next w:val="Normal"/>
    <w:qFormat/>
    <w:pPr>
      <w:spacing w:after="120" w:before="240"/>
    </w:pPr>
    <w:rPr>
      <w:b/>
      <w:bCs/>
      <w:color w:val="2B2F3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2026-08-04T17:21:26.580Z</dcterms:created>
  <dcterms:modified xsi:type="dcterms:W3CDTF">2026-08-04T17:21:26.581Z</dcterms:modified>
</cp:coreProperties>
</file>

<file path=docProps/custom.xml><?xml version="1.0" encoding="utf-8"?>
<Properties xmlns="http://schemas.openxmlformats.org/officeDocument/2006/custom-properties" xmlns:vt="http://schemas.openxmlformats.org/officeDocument/2006/docPropsVTypes"/>
</file>