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VOLUME VII</w:t>
      </w:r>
    </w:p>
    <w:p>
      <w:pPr>
        <w:spacing w:after="800" w:before="200"/>
        <w:jc w:val="center"/>
      </w:pPr>
      <w:r>
        <w:rPr>
          <w:i/>
          <w:iCs/>
          <w:color w:val="0E5AA7"/>
          <w:sz w:val="24"/>
          <w:szCs w:val="24"/>
        </w:rPr>
        <w:t xml:space="preserve">AI Strategy &amp; Intelligence Layer</w:t>
      </w:r>
    </w:p>
    <w:p>
      <w:pPr>
        <w:spacing w:before="2400"/>
        <w:jc w:val="center"/>
      </w:pPr>
      <w:r>
        <w:rPr>
          <w:color w:val="2B2F36"/>
          <w:sz w:val="20"/>
          <w:szCs w:val="20"/>
        </w:rPr>
        <w:t xml:space="preserve">CLAUDE MASTER PROMPT 001 · Document 07-AI</w:t>
      </w:r>
    </w:p>
    <w:p>
      <w:pPr>
        <w:spacing w:before="100"/>
        <w:jc w:val="center"/>
      </w:pPr>
      <w:r>
        <w:rPr>
          <w:color w:val="2B2F36"/>
          <w:sz w:val="20"/>
          <w:szCs w:val="20"/>
        </w:rPr>
        <w:t xml:space="preserve">Master Product Requirements Document — Volume VII</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AI Strategy Overview</w:t>
      </w:r>
    </w:p>
    <w:p>
      <w:pPr>
        <w:spacing w:after="160"/>
      </w:pPr>
      <w:r>
        <w:t xml:space="preserve">AI capability is introduced as a set of additive services attached to well-defined integration points in the modules specified in Volume VI, rather than as a rewrite of core workflows. Every AI feature must have a clear, deterministic fallback: if the AI service is degraded or a user opts out, the underlying manual workflow (typed estimates, manual scheduling, manual scope entry) remains fully functional. AI never becomes a single point of failure for a core construction workflow.</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Principle: AI augments the Estimator, Superintendent, and PM — it does not replace their sign-off. Every AI-generated output that affects price, schedule, or scope requires human approval before it becomes authoritative project data.</w:t>
            </w:r>
          </w:p>
        </w:tc>
      </w:tr>
    </w:tbl>
    <w:p>
      <w:pPr>
        <w:pStyle w:val="Heading1"/>
        <w:spacing w:after="240" w:before="480"/>
      </w:pPr>
      <w:r>
        <w:rPr>
          <w:color w:val="071B2E"/>
        </w:rPr>
        <w:t xml:space="preserve">Chapter 2 — AI Estimating</w:t>
      </w:r>
    </w:p>
    <w:p>
      <w:pPr>
        <w:spacing w:after="160"/>
      </w:pPr>
      <w:r>
        <w:t xml:space="preserve">Extends the Estimating module (Volume VI, Chapter 4) with four input modalities that all resolve to the same estimate_line_items structure, so downstream approval, change-order, and Document Generator flows are identical regardless of input method:</w:t>
      </w:r>
    </w:p>
    <w:p>
      <w:pPr>
        <w:pStyle w:val="ListParagraph"/>
        <w:numPr>
          <w:ilvl w:val="0"/>
          <w:numId w:val="2"/>
        </w:numPr>
        <w:spacing w:after="60"/>
      </w:pPr>
      <w:r>
        <w:t xml:space="preserve">Voice Dictation — an Estimator narrates scope; speech is transcribed and parsed into candidate line items against the Pricing Library for review, never auto-committed.</w:t>
      </w:r>
    </w:p>
    <w:p>
      <w:pPr>
        <w:pStyle w:val="ListParagraph"/>
        <w:numPr>
          <w:ilvl w:val="0"/>
          <w:numId w:val="2"/>
        </w:numPr>
        <w:spacing w:after="60"/>
      </w:pPr>
      <w:r>
        <w:t xml:space="preserve">Photo Upload — site or reference photos are analyzed for visible scope cues (e.g. existing finishes, damage) to suggest line items, always presented as suggestions with confidence context, not final figures.</w:t>
      </w:r>
    </w:p>
    <w:p>
      <w:pPr>
        <w:pStyle w:val="ListParagraph"/>
        <w:numPr>
          <w:ilvl w:val="0"/>
          <w:numId w:val="2"/>
        </w:numPr>
        <w:spacing w:after="60"/>
      </w:pPr>
      <w:r>
        <w:t xml:space="preserve">Blueprint Upload — quantities (square footage, room counts, fixture counts) are extracted from an uploaded blueprint to pre-populate an estimate's material and labor quantities.</w:t>
      </w:r>
    </w:p>
    <w:p>
      <w:pPr>
        <w:pStyle w:val="ListParagraph"/>
        <w:numPr>
          <w:ilvl w:val="0"/>
          <w:numId w:val="2"/>
        </w:numPr>
        <w:spacing w:after="60"/>
      </w:pPr>
      <w:r>
        <w:t xml:space="preserve">Room Scan — future integration point for Apple RoomPlan/Matterport-style capture (Volume III, Chapter 5.3), producing dimensional data with the same review-before-commit pattern.</w:t>
      </w:r>
    </w:p>
    <w:p>
      <w:pPr>
        <w:pStyle w:val="Heading2"/>
        <w:spacing w:after="180" w:before="360"/>
      </w:pPr>
      <w:r>
        <w:rPr>
          <w:color w:val="0E5AA7"/>
        </w:rPr>
        <w:t xml:space="preserve">2.1 Scope Generation &amp; Material Suggestions</w:t>
      </w:r>
    </w:p>
    <w:p>
      <w:pPr>
        <w:spacing w:after="160"/>
      </w:pPr>
      <w:r>
        <w:t xml:space="preserve">Given a project type and a small set of inputs (square footage, finish tier, region), AI Scope Generation proposes a starting line-item scope from historical estimate patterns, and AI Material Suggestions recommends Material Studio catalog items matching a client's stated style preferences. Both are proposals an Estimator or Client actively accepts, edits, or discards — never silently applied to a live estimate.</w:t>
      </w:r>
    </w:p>
    <w:p>
      <w:pPr>
        <w:pStyle w:val="Heading1"/>
        <w:spacing w:after="240" w:before="480"/>
      </w:pPr>
      <w:r>
        <w:rPr>
          <w:color w:val="071B2E"/>
        </w:rPr>
        <w:t xml:space="preserve">Chapter 3 — Blueprint Intelligence</w:t>
      </w:r>
    </w:p>
    <w:p>
      <w:pPr>
        <w:spacing w:after="160"/>
      </w:pPr>
      <w:r>
        <w:t xml:space="preserve">Layered onto the Blueprint Studio (Volume VI, Chapter 5): automatic room and dimension recognition on uploaded blueprints, and automated Blueprint Comparison that highlights differences between an existing and proposed version beyond manual measurement review. Recognition output is stored as structured, editable data alongside the source blueprint file — the original upload is never modified or replaced by AI output.</w:t>
      </w:r>
    </w:p>
    <w:p>
      <w:pPr>
        <w:pStyle w:val="Heading1"/>
        <w:spacing w:after="240" w:before="480"/>
      </w:pPr>
      <w:r>
        <w:rPr>
          <w:color w:val="071B2E"/>
        </w:rPr>
        <w:t xml:space="preserve">Chapter 4 — AI Construction Assistant</w:t>
      </w:r>
    </w:p>
    <w:p>
      <w:pPr>
        <w:spacing w:after="160"/>
      </w:pPr>
      <w:r>
        <w:t xml:space="preserve">A cross-module conversational assistant, available to internal roles and (in a scoped form) to Clients, that can answer questions grounded in the requesting user's actual accessible data — open RFIs, pending approvals, schedule status, invoice status — by querying the same RLS-protected data layer the rest of the platform uses (Volume V). The assistant never gains broader data access than the user asking it; it is a query interface, not a privilege escalation path.</w:t>
      </w:r>
    </w:p>
    <w:p>
      <w:pPr>
        <w:pStyle w:val="Heading2"/>
        <w:spacing w:after="180" w:before="360"/>
      </w:pPr>
      <w:r>
        <w:rPr>
          <w:color w:val="0E5AA7"/>
        </w:rPr>
        <w:t xml:space="preserve">4.1 Example Assistant Capabilities</w:t>
      </w:r>
    </w:p>
    <w:p>
      <w:pPr>
        <w:pStyle w:val="ListParagraph"/>
        <w:numPr>
          <w:ilvl w:val="0"/>
          <w:numId w:val="2"/>
        </w:numPr>
        <w:spacing w:after="60"/>
      </w:pPr>
      <w:r>
        <w:t xml:space="preserve">"What's blocking the Foundation phase on 123 Main St?"</w:t>
      </w:r>
    </w:p>
    <w:p>
      <w:pPr>
        <w:pStyle w:val="ListParagraph"/>
        <w:numPr>
          <w:ilvl w:val="0"/>
          <w:numId w:val="2"/>
        </w:numPr>
        <w:spacing w:after="60"/>
      </w:pPr>
      <w:r>
        <w:t xml:space="preserve">"Summarize open RFIs for this project."</w:t>
      </w:r>
    </w:p>
    <w:p>
      <w:pPr>
        <w:pStyle w:val="ListParagraph"/>
        <w:numPr>
          <w:ilvl w:val="0"/>
          <w:numId w:val="2"/>
        </w:numPr>
        <w:spacing w:after="60"/>
      </w:pPr>
      <w:r>
        <w:t xml:space="preserve">"Which material selections are still pending client approval?"</w:t>
      </w:r>
    </w:p>
    <w:p>
      <w:pPr>
        <w:pStyle w:val="ListParagraph"/>
        <w:numPr>
          <w:ilvl w:val="0"/>
          <w:numId w:val="2"/>
        </w:numPr>
        <w:spacing w:after="60"/>
      </w:pPr>
      <w:r>
        <w:t xml:space="preserve">"Draft a status update for the client based on this week's progress entries."</w:t>
      </w:r>
    </w:p>
    <w:p>
      <w:pPr>
        <w:pStyle w:val="Heading1"/>
        <w:spacing w:after="240" w:before="480"/>
      </w:pPr>
      <w:r>
        <w:rPr>
          <w:color w:val="071B2E"/>
        </w:rPr>
        <w:t xml:space="preserve">Chapter 5 — AI Scheduling</w:t>
      </w:r>
    </w:p>
    <w:p>
      <w:pPr>
        <w:spacing w:after="160"/>
      </w:pPr>
      <w:r>
        <w:t xml:space="preserve">Analyzes the phase-dependency graph (Volume VI, Chapter 9) alongside historical phase-duration data to flag schedule risk and suggest resequencing where dependencies allow flexibility. Suggestions surface on the PM dashboard as recommendations with rationale, requiring explicit PM action to apply them to the live schedule.</w:t>
      </w:r>
    </w:p>
    <w:p>
      <w:pPr>
        <w:pStyle w:val="Heading1"/>
        <w:spacing w:after="240" w:before="480"/>
      </w:pPr>
      <w:r>
        <w:rPr>
          <w:color w:val="071B2E"/>
        </w:rPr>
        <w:t xml:space="preserve">Chapter 6 — AI Document Generation</w:t>
      </w:r>
    </w:p>
    <w:p>
      <w:pPr>
        <w:spacing w:after="160"/>
      </w:pPr>
      <w:r>
        <w:t xml:space="preserve">This refers specifically to AI-assisted drafting of the structured data sent to the GOS Document Generator (Volume IX) — for example, drafting proposal narrative text or change-order justification language for Estimator/PM review — not to this platform generating documents itself. The boundary from Volume I Chapter 2.4 and Volume III Chapter 5.1 holds: document authoring and rendering remain exclusively the Document Generator's responsibility.</w:t>
      </w:r>
    </w:p>
    <w:p>
      <w:pPr>
        <w:pStyle w:val="Heading1"/>
        <w:spacing w:after="240" w:before="480"/>
      </w:pPr>
      <w:r>
        <w:rPr>
          <w:color w:val="071B2E"/>
        </w:rPr>
        <w:t xml:space="preserve">Chapter 7 — AI Project Analytics</w:t>
      </w:r>
    </w:p>
    <w:p>
      <w:pPr>
        <w:spacing w:after="160"/>
      </w:pPr>
      <w:r>
        <w:t xml:space="preserve">Surfaces pattern-level insights across a PM's or Administrator's portfolio of projects (e.g. "Electrical phase is trending 18% over historical duration across active projects") by analyzing the reporting views defined in Volume VI Chapter 16, respecting the same permission boundaries — a PM sees analytics only across projects they have access to, never portfolio-wide data reserved for Administrators.</w:t>
      </w:r>
    </w:p>
    <w:p>
      <w:pPr>
        <w:pStyle w:val="Heading1"/>
        <w:spacing w:after="240" w:before="480"/>
      </w:pPr>
      <w:r>
        <w:rPr>
          <w:color w:val="071B2E"/>
        </w:rPr>
        <w:t xml:space="preserve">Chapter 8 — Data Governance for AI Features</w:t>
      </w:r>
    </w:p>
    <w:p>
      <w:pPr>
        <w:pStyle w:val="ListParagraph"/>
        <w:numPr>
          <w:ilvl w:val="0"/>
          <w:numId w:val="2"/>
        </w:numPr>
        <w:spacing w:after="60"/>
      </w:pPr>
      <w:r>
        <w:t xml:space="preserve">No client, financial, or field data is used to train shared/foundation models outside the platform's own service boundary without explicit contractual terms with the AI provider.</w:t>
      </w:r>
    </w:p>
    <w:p>
      <w:pPr>
        <w:pStyle w:val="ListParagraph"/>
        <w:numPr>
          <w:ilvl w:val="0"/>
          <w:numId w:val="2"/>
        </w:numPr>
        <w:spacing w:after="60"/>
      </w:pPr>
      <w:r>
        <w:t xml:space="preserve">AI service calls are logged with the same audit discipline as any other mutating or sensitive-read action (Volume IV, Chapter 4).</w:t>
      </w:r>
    </w:p>
    <w:p>
      <w:pPr>
        <w:pStyle w:val="ListParagraph"/>
        <w:numPr>
          <w:ilvl w:val="0"/>
          <w:numId w:val="2"/>
        </w:numPr>
        <w:spacing w:after="60"/>
      </w:pPr>
      <w:r>
        <w:t xml:space="preserve">Medical Building projects (Volume I, Chapter 3) receive no special AI handling beyond standard commercial construction — reinforcing that no clinical or patient data ever enters this platform's AI pipeline.</w:t>
      </w:r>
    </w:p>
    <w:p>
      <w:pPr>
        <w:pStyle w:val="ListParagraph"/>
        <w:numPr>
          <w:ilvl w:val="0"/>
          <w:numId w:val="2"/>
        </w:numPr>
        <w:spacing w:after="60"/>
      </w:pPr>
      <w:r>
        <w:t xml:space="preserve">Every AI feature is independently toggleable per organization, so a client or firm that opts out of AI assistance retains full platform functionality.</w:t>
      </w:r>
    </w:p>
    <w:p>
      <w:pPr>
        <w:pStyle w:val="Heading1"/>
        <w:spacing w:after="240" w:before="480"/>
      </w:pPr>
      <w:r>
        <w:rPr>
          <w:color w:val="071B2E"/>
        </w:rPr>
        <w:t xml:space="preserve">Chapter 9 — Phasing</w:t>
      </w:r>
    </w:p>
    <w:p>
      <w:pPr>
        <w:spacing w:after="160"/>
      </w:pPr>
      <w:r>
        <w:t xml:space="preserve">AI features are not required for initial release. The recommended sequence — detailed further in Volume X — introduces AI Estimating and Blueprint Intelligence first (highest direct time-savings for Estimators), followed by the AI Construction Assistant, then AI Scheduling and Analytics, with AI Document Generation drafting assistance layered in last once the Document Generator integration (Volume IX) is fully stable.</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Next volume: 08-3D — 3D Design Studio, GLB Pipeline &amp; Material Configurator.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VOLUME 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2026-08-04T17:22:03.614Z</dcterms:created>
  <dcterms:modified xsi:type="dcterms:W3CDTF">2026-08-04T17:22:03.615Z</dcterms:modified>
</cp:coreProperties>
</file>

<file path=docProps/custom.xml><?xml version="1.0" encoding="utf-8"?>
<Properties xmlns="http://schemas.openxmlformats.org/officeDocument/2006/custom-properties" xmlns:vt="http://schemas.openxmlformats.org/officeDocument/2006/docPropsVTypes"/>
</file>