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E5AA7"/>
          <w:sz w:val="26"/>
          <w:szCs w:val="26"/>
        </w:rPr>
        <w:t xml:space="preserve">GOTTLIEB BUILD &amp; DESIGN</w:t>
      </w:r>
    </w:p>
    <w:p>
      <w:pPr>
        <w:spacing w:after="400" w:before="100"/>
        <w:jc w:val="center"/>
      </w:pPr>
      <w:r>
        <w:rPr>
          <w:color w:val="2B2F36"/>
          <w:sz w:val="20"/>
          <w:szCs w:val="20"/>
        </w:rPr>
        <w:t xml:space="preserve">CONSTRUCTION OPERATING SYSTEM</w:t>
      </w:r>
    </w:p>
    <w:p>
      <w:pPr>
        <w:spacing w:before="800"/>
        <w:jc w:val="center"/>
      </w:pPr>
      <w:r>
        <w:rPr>
          <w:b/>
          <w:bCs/>
          <w:color w:val="071B2E"/>
          <w:sz w:val="56"/>
          <w:szCs w:val="56"/>
        </w:rPr>
        <w:t xml:space="preserve">VOLUME VIII</w:t>
      </w:r>
    </w:p>
    <w:p>
      <w:pPr>
        <w:spacing w:after="800" w:before="200"/>
        <w:jc w:val="center"/>
      </w:pPr>
      <w:r>
        <w:rPr>
          <w:i/>
          <w:iCs/>
          <w:color w:val="0E5AA7"/>
          <w:sz w:val="24"/>
          <w:szCs w:val="24"/>
        </w:rPr>
        <w:t xml:space="preserve">3D Design Studio &amp; Material Configurator</w:t>
      </w:r>
    </w:p>
    <w:p>
      <w:pPr>
        <w:spacing w:before="2400"/>
        <w:jc w:val="center"/>
      </w:pPr>
      <w:r>
        <w:rPr>
          <w:color w:val="2B2F36"/>
          <w:sz w:val="20"/>
          <w:szCs w:val="20"/>
        </w:rPr>
        <w:t xml:space="preserve">CLAUDE MASTER PROMPT 001 · Document 08-3D</w:t>
      </w:r>
    </w:p>
    <w:p>
      <w:pPr>
        <w:spacing w:before="100"/>
        <w:jc w:val="center"/>
      </w:pPr>
      <w:r>
        <w:rPr>
          <w:color w:val="2B2F36"/>
          <w:sz w:val="20"/>
          <w:szCs w:val="20"/>
        </w:rPr>
        <w:t xml:space="preserve">Master Product Requirements Document — Volume VIII</w:t>
      </w:r>
    </w:p>
    <w:p>
      <w:pPr>
        <w:spacing w:before="100"/>
        <w:jc w:val="center"/>
      </w:pPr>
      <w:r>
        <w:rPr>
          <w:b/>
          <w:bCs/>
          <w:color w:val="C9CDD2"/>
          <w:sz w:val="18"/>
          <w:szCs w:val="18"/>
        </w:rPr>
        <w:t xml:space="preserve">Status: Draft for Approval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color w:val="071B2E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color w:val="071B2E"/>
        </w:rPr>
        <w:t xml:space="preserve">Chapter 1 — Purpose &amp; Positioning</w:t>
      </w:r>
    </w:p>
    <w:p>
      <w:pPr>
        <w:spacing w:after="160"/>
      </w:pPr>
      <w:r>
        <w:t xml:space="preserve">The 3D Design Studio is the platform's signature feature and the clearest expression of the Volume II design philosophy: a Porsche-configurator-grade experience for walking through, and materially customizing, a client's own project. It is explicitly not a rendering engine — the platform never computes photorealistic renders at request time. Instead, it consumes pre-built assets authored offline in Blender and displays them interactively in-browser.</w:t>
      </w:r>
    </w:p>
    <w:tbl>
      <w:tblPr>
        <w:tblW w:type="pct" w:w="100%"/>
        <w:tblBorders>
          <w:top w:val="single" w:color="0E5AA7" w:sz="4"/>
          <w:left w:val="single" w:color="0E5AA7" w:sz="4"/>
          <w:bottom w:val="single" w:color="0E5AA7" w:sz="4"/>
          <w:right w:val="single" w:color="0E5AA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071B2E"/>
              </w:rPr>
              <w:t xml:space="preserve">Hard constraint restated from Volume I: do not build a custom rendering engine. All visual fidelity comes from the offline Blender/GLB pipeline, not from runtime computation.</w:t>
            </w:r>
          </w:p>
        </w:tc>
      </w:tr>
    </w:tbl>
    <w:p>
      <w:pPr>
        <w:pStyle w:val="Heading1"/>
        <w:spacing w:after="240" w:before="480"/>
      </w:pPr>
      <w:r>
        <w:rPr>
          <w:color w:val="071B2E"/>
        </w:rPr>
        <w:t xml:space="preserve">Chapter 2 — Asset Pipeline</w:t>
      </w:r>
    </w:p>
    <w:p>
      <w:pPr>
        <w:pStyle w:val="Heading2"/>
        <w:spacing w:after="180" w:before="360"/>
      </w:pPr>
      <w:r>
        <w:rPr>
          <w:color w:val="0E5AA7"/>
        </w:rPr>
        <w:t xml:space="preserve">2.1 Authoring</w:t>
      </w:r>
    </w:p>
    <w:p>
      <w:pPr>
        <w:spacing w:after="160"/>
      </w:pPr>
      <w:r>
        <w:t xml:space="preserve">Administrators (or a design team acting under the Administrator role) author project models in Blender, modeling each client-configurable surface — flooring, cabinets, countertops, windows, doors, wall paint — as a distinct, named mesh or mesh group so it can be targeted individually at runtime.</w:t>
      </w:r>
    </w:p>
    <w:p>
      <w:pPr>
        <w:pStyle w:val="Heading2"/>
        <w:spacing w:after="180" w:before="360"/>
      </w:pPr>
      <w:r>
        <w:rPr>
          <w:color w:val="0E5AA7"/>
        </w:rPr>
        <w:t xml:space="preserve">2.2 Export &amp; Upload</w:t>
      </w:r>
    </w:p>
    <w:p>
      <w:pPr>
        <w:spacing w:after="160"/>
      </w:pPr>
      <w:r>
        <w:t xml:space="preserve">Models are exported to GLB (the only supported runtime format) and uploaded through the 3D Design Studio's administrator upload flow, which stores the file in the models/ Supabase Storage bucket (Volume IV, Chapter 5) and registers it in glb_models with metadata identifying its configurable surfaces.</w:t>
      </w:r>
    </w:p>
    <w:p>
      <w:pPr>
        <w:pStyle w:val="Heading2"/>
        <w:spacing w:after="180" w:before="360"/>
      </w:pPr>
      <w:r>
        <w:rPr>
          <w:color w:val="0E5AA7"/>
        </w:rPr>
        <w:t xml:space="preserve">2.3 Material Binding</w:t>
      </w:r>
    </w:p>
    <w:p>
      <w:pPr>
        <w:spacing w:after="160"/>
      </w:pPr>
      <w:r>
        <w:t xml:space="preserve">Each configurable surface in a GLB model is bound to a material_options category (e.g. the cabinets mesh group binds to the "Cabinetry" category). This binding is what allows the client-facing material swap UI (Chapter 4) to know which catalog items are valid for which part of the model.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2A — Polygon &amp; Performance Budgets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Device Class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Polygon Budget (Active Scene)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Texture Resolution Cap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Desktop (modern)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to ~2M triangles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4K per material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Mobile / tablet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to ~500K triangles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2K per material</w:t>
            </w:r>
          </w:p>
        </w:tc>
      </w:tr>
    </w:tbl>
    <w:p>
      <w:pPr>
        <w:spacing w:after="160"/>
      </w:pPr>
      <w:r>
        <w:t xml:space="preserve">Models exceeding these budgets are flagged during upload for optimization (decimation, texture compression) before publishing to a live project, keeping the Chapter 6 non-functional performance targets from Volume III achievable across device classes.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3 — Viewer Experience</w:t>
      </w:r>
    </w:p>
    <w:p>
      <w:pPr>
        <w:pStyle w:val="Heading2"/>
        <w:spacing w:after="180" w:before="360"/>
      </w:pPr>
      <w:r>
        <w:rPr>
          <w:color w:val="0E5AA7"/>
        </w:rPr>
        <w:t xml:space="preserve">3.1 Core Interactions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Walkthrough — first-person or orbit navigation through the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Rotate — free orbit around the full model or a selected room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Zoom — smooth zoom constrained to sensible near/far bounds per scene scale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Room selection — clicking/tapping a room isolates it for focused material editing</w:t>
      </w:r>
    </w:p>
    <w:p>
      <w:pPr>
        <w:pStyle w:val="Heading2"/>
        <w:spacing w:after="180" w:before="360"/>
      </w:pPr>
      <w:r>
        <w:rPr>
          <w:color w:val="0E5AA7"/>
        </w:rPr>
        <w:t xml:space="preserve">3.2 Technical Implementation</w:t>
      </w:r>
    </w:p>
    <w:p>
      <w:pPr>
        <w:spacing w:after="160"/>
      </w:pPr>
      <w:r>
        <w:t xml:space="preserve">Built with React Three Fiber and Drei on top of Three.js (Volume III, Chapter 2.1). Camera controls, lighting rigs, and material-swap transitions are implemented once as shared viewer primitives in /packages/ui's 3D layer, reused across every project's model rather than rebuilt per project.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4 — Material Configurator</w:t>
      </w:r>
    </w:p>
    <w:p>
      <w:pPr>
        <w:spacing w:after="160"/>
      </w:pPr>
      <w:r>
        <w:t xml:space="preserve">Clients change flooring, cabinets, countertops, windows, doors, and paint directly on the model. Selecting a category surfaces the bound material_options for that surface (Chapter 2.3); selecting an option applies it as a live material swap on the corresponding mesh group and updates the running price delta shown in the panel, since every material option carries a price (Volume VI, Chapter 7).</w:t>
      </w:r>
    </w:p>
    <w:p>
      <w:pPr>
        <w:pStyle w:val="Heading2"/>
        <w:spacing w:after="180" w:before="360"/>
      </w:pPr>
      <w:r>
        <w:rPr>
          <w:color w:val="0E5AA7"/>
        </w:rPr>
        <w:t xml:space="preserve">4.1 Before &amp; After Visualization</w:t>
      </w:r>
    </w:p>
    <w:p>
      <w:pPr>
        <w:spacing w:after="160"/>
      </w:pPr>
      <w:r>
        <w:t xml:space="preserve">The viewer supports a before/after comparison mode — either a split view or a toggle — comparing the original specified materials against the client's in-progress selections, before those selections are submitted for approval.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5 — Approvals &amp; Change Requests</w:t>
      </w:r>
    </w:p>
    <w:p>
      <w:pPr>
        <w:spacing w:after="160"/>
      </w:pPr>
      <w:r>
        <w:t xml:space="preserve">A client's material selections are draft state until explicitly submitted, at which point they become an approval_request (Volume VI, Chapter 14) routed to the Project Manager. An approved selection updates material_selections as authoritative and, where it changes cost versus the baseline estimate, automatically drafts a change order for Estimator/PM review rather than silently altering the project budget.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6 — Access by Role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3D Studio Access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viewer and configurator access to their own project's model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Manager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viewer access; can review and approve submitted selections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Architect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viewer access; design-comment capability on the model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Administrator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Upload, replace, and configure GLB models and material bindings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Vendor / Subcontractor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default access — out of scope for their portals</w:t>
            </w:r>
          </w:p>
        </w:tc>
      </w:tr>
    </w:tbl>
    <w:p>
      <w:pPr>
        <w:pStyle w:val="Heading1"/>
        <w:spacing w:after="240" w:before="480"/>
      </w:pPr>
      <w:r>
        <w:rPr>
          <w:color w:val="071B2E"/>
        </w:rPr>
        <w:t xml:space="preserve">Chapter 7 — Visual &amp; Interaction Standards</w:t>
      </w:r>
    </w:p>
    <w:p>
      <w:pPr>
        <w:spacing w:after="160"/>
      </w:pPr>
      <w:r>
        <w:t xml:space="preserve">Per Volume II, Chapter 5: dark Deep Navy chrome frames a bright, true-to-material viewport; the material panel is a minimal floating overlay rather than a dense sidebar; camera and material-transition motion is more expressive here than anywhere else in the platform, deliberately mirroring premium product-configurator conventions rather than CAD tooling conventions.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8 — Future Extensions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Apple RoomPlan / Matterport capture feeding directly into the GLB pipeline as a faster path from as-built condition to viewable model (Volume III, Chapter 5.3).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Autodesk Platform Services integration for architect-authored models to flow into the pipeline with less manual Blender rework.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Material Suggestions (Volume VII, Chapter 2.1) surfaced directly inside the configurator panel.</w:t>
      </w:r>
    </w:p>
    <w:tbl>
      <w:tblPr>
        <w:tblW w:type="pct" w:w="100%"/>
        <w:tblBorders>
          <w:top w:val="single" w:color="0E5AA7" w:sz="4"/>
          <w:left w:val="single" w:color="0E5AA7" w:sz="4"/>
          <w:bottom w:val="single" w:color="0E5AA7" w:sz="4"/>
          <w:right w:val="single" w:color="0E5AA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071B2E"/>
              </w:rPr>
              <w:t xml:space="preserve">Next volume: 09-API — REST API Design, Authentication &amp; the Document Generator Integration Layer.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2B2F3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C9CDD2"/>
        <w:sz w:val="16"/>
        <w:szCs w:val="16"/>
      </w:rPr>
      <w:t xml:space="preserve">GOTTLIEB BUILD &amp; DESIGN · VOLUME VIII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b/>
      <w:bCs/>
      <w:color w:val="071B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80" w:before="360"/>
    </w:pPr>
    <w:rPr>
      <w:b/>
      <w:bCs/>
      <w:color w:val="0E5AA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b/>
      <w:bCs/>
      <w:color w:val="2B2F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2026-08-04T17:22:36.689Z</dcterms:created>
  <dcterms:modified xsi:type="dcterms:W3CDTF">2026-08-04T17:22:36.690Z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