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5AA7"/>
          <w:sz w:val="26"/>
          <w:szCs w:val="26"/>
        </w:rPr>
        <w:t xml:space="preserve">GOTTLIEB BUILD &amp; DESIGN</w:t>
      </w:r>
    </w:p>
    <w:p>
      <w:pPr>
        <w:spacing w:after="400" w:before="100"/>
        <w:jc w:val="center"/>
      </w:pPr>
      <w:r>
        <w:rPr>
          <w:color w:val="2B2F36"/>
          <w:sz w:val="20"/>
          <w:szCs w:val="20"/>
        </w:rPr>
        <w:t xml:space="preserve">CONSTRUCTION OPERATING SYSTEM</w:t>
      </w:r>
    </w:p>
    <w:p>
      <w:pPr>
        <w:spacing w:before="800"/>
        <w:jc w:val="center"/>
      </w:pPr>
      <w:r>
        <w:rPr>
          <w:b/>
          <w:bCs/>
          <w:color w:val="071B2E"/>
          <w:sz w:val="56"/>
          <w:szCs w:val="56"/>
        </w:rPr>
        <w:t xml:space="preserve">VOLUME IX</w:t>
      </w:r>
    </w:p>
    <w:p>
      <w:pPr>
        <w:spacing w:after="800" w:before="200"/>
        <w:jc w:val="center"/>
      </w:pPr>
      <w:r>
        <w:rPr>
          <w:i/>
          <w:iCs/>
          <w:color w:val="0E5AA7"/>
          <w:sz w:val="24"/>
          <w:szCs w:val="24"/>
        </w:rPr>
        <w:t xml:space="preserve">API Design &amp; Document Generator Integration</w:t>
      </w:r>
    </w:p>
    <w:p>
      <w:pPr>
        <w:spacing w:before="2400"/>
        <w:jc w:val="center"/>
      </w:pPr>
      <w:r>
        <w:rPr>
          <w:color w:val="2B2F36"/>
          <w:sz w:val="20"/>
          <w:szCs w:val="20"/>
        </w:rPr>
        <w:t xml:space="preserve">CLAUDE MASTER PROMPT 001 · Document 09-API</w:t>
      </w:r>
    </w:p>
    <w:p>
      <w:pPr>
        <w:spacing w:before="100"/>
        <w:jc w:val="center"/>
      </w:pPr>
      <w:r>
        <w:rPr>
          <w:color w:val="2B2F36"/>
          <w:sz w:val="20"/>
          <w:szCs w:val="20"/>
        </w:rPr>
        <w:t xml:space="preserve">Master Product Requirements Document — Volume IX</w:t>
      </w:r>
    </w:p>
    <w:p>
      <w:pPr>
        <w:spacing w:before="100"/>
        <w:jc w:val="center"/>
      </w:pPr>
      <w:r>
        <w:rPr>
          <w:b/>
          <w:bCs/>
          <w:color w:val="C9CDD2"/>
          <w:sz w:val="18"/>
          <w:szCs w:val="18"/>
        </w:rPr>
        <w:t xml:space="preserve">Status: Draft for Approval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Chapter 1 — API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REST-first for the initial release, with resource and payload design kept GraphQL-compatible (predictable resource shapes, no ad hoc RPC-style endpoints) so a future GraphQL layer can be added without a breaking redesign.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endpoint enforces the same Row Level Security the database enforces directly — the API is a typed, validated door onto RLS-protected data, never a bypass of it (Volume V, Chapter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for all mutating endpoints that trigger external effects (notably Document Generator requests) via idempotency keys, so retries never double-create documents or invoices.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Versioned from day one (/api/v1/...) even though only one version will exist initially, to avoid an unversioned-to-versioned migration later.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2 — Authentication &amp; Authorization</w:t>
      </w:r>
    </w:p>
    <w:p>
      <w:pPr>
        <w:spacing w:after="160"/>
      </w:pPr>
      <w:r>
        <w:t xml:space="preserve">Authentication is handled by Supabase Authentication (Volume III, Chapter 2.2); the API layer validates the Supabase session/JWT on every request and derives the effective role and project memberships (Volume V, Chapter 3) before any handler logic runs. Service-to-service calls (e.g. scheduled jobs, the Document Generator webhook receiver) use scoped service credentials, never a shared admin key, and are logged identically to user-initiated calls.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3 — Core Resource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Endpoints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/projects, GET/PATCH /projects/{id}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/projects/{id}/estimates, /estimates/{id}/line-items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Blueprints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/projects/{id}/blueprints, GET /blueprints/{id}/versions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Studio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/projects/{id}/model, POST /projects/{id}/selections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/approvals, PATCH /approvals/{id} (approve/reject)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Orders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/projects/{id}/change-orders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Invoices &amp; Payments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/projects/{id}/invoices, POST /invoices/{id}/payments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Scoped variants of the above filtered to the caller's organization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/documents/requests, GET /documents/requests/{id}/status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/notifications, PATCH /notifications/{id}/read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4 — GOS Document Generator Integration</w:t>
      </w:r>
    </w:p>
    <w:p>
      <w:pPr>
        <w:spacing w:after="160"/>
      </w:pPr>
      <w:r>
        <w:t xml:space="preserve">This is the platform's most important external contract and is treated as a formal, versioned API relationship rather than an internal implementation detail.</w:t>
      </w:r>
    </w:p>
    <w:p>
      <w:pPr>
        <w:pStyle w:val="Heading2"/>
        <w:spacing w:after="180" w:before="360"/>
      </w:pPr>
      <w:r>
        <w:rPr>
          <w:color w:val="0E5AA7"/>
        </w:rPr>
        <w:t xml:space="preserve">4.1 Outbound: Requesting a Document</w:t>
      </w:r>
    </w:p>
    <w:p>
      <w:pPr>
        <w:spacing w:after="160"/>
      </w:pPr>
      <w:r>
        <w:t xml:space="preserve">When a workflow reaches a document-producing state (estimate approved, change order approved, invoice due, material approval finalized, project completed, warranty issued), this platform POSTs a structured payload to the Document Generator's API: document type, project reference, the relevant structured data (line items, parties, amounts, dates), and a callback/webhook target for status updates. The payload schema is versioned per document type, matching the eleven document types identified in Volume I, Chapter 9: Estimate, Proposal, Contract, Subcontract, Purchase Order, Change Order, Invoice, Receipt, Material Approval, Completion Certificate, Warranty.</w:t>
      </w:r>
    </w:p>
    <w:p>
      <w:pPr>
        <w:pStyle w:val="Heading2"/>
        <w:spacing w:after="180" w:before="360"/>
      </w:pPr>
      <w:r>
        <w:rPr>
          <w:color w:val="0E5AA7"/>
        </w:rPr>
        <w:t xml:space="preserve">4.2 Inbound: Status &amp; Reference Sync</w:t>
      </w:r>
    </w:p>
    <w:p>
      <w:pPr>
        <w:spacing w:after="160"/>
      </w:pPr>
      <w:r>
        <w:t xml:space="preserve">The Document Generator calls back (webhook) with generation status (queued, generated, failed) and a reference/link to the resulting document. This platform stores that status and reference in document_status (Volume IV, Chapter 2.8) and surfaces it in the Document Integration module (Volume VI, Chapter 19) — it never stores or renders the document's actual content.</w:t>
      </w:r>
    </w:p>
    <w:p>
      <w:pPr>
        <w:pStyle w:val="Heading2"/>
        <w:spacing w:after="180" w:before="360"/>
      </w:pPr>
      <w:r>
        <w:rPr>
          <w:color w:val="0E5AA7"/>
        </w:rPr>
        <w:t xml:space="preserve">4.3 Failure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Failed document generation surfaces as an actionable alert to the PM/Administrator, not a silent log 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Retries use the idempotency key from Chapter 1 so a retried request cannot produce a duplicate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circuit-breaker pattern prevents repeated failed calls from cascading into a broader outage of unrelated platform functionality — document generation failure never blocks core project operations.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5 — Webhooks</w:t>
      </w:r>
    </w:p>
    <w:p>
      <w:pPr>
        <w:spacing w:after="160"/>
      </w:pPr>
      <w:r>
        <w:t xml:space="preserve">Beyond the Document Generator callback, the platform exposes its own outbound webhook capability for future integrations (e.g. accounting systems, notification tools), following the same signed-payload, versioned-schema, and retry-with-idempotency conventions established in Chapters 1 and 4, so the pattern is consistent whether this platform is the caller or the callee.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6 — Error Handling &amp;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follow a consistent shape (error code, human-readable message, request id) across every endpoint, so client-side handling and the AI Construction Assistant (Volume VII, Chapter 4) can reason about failures uniformly.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request is logged with request id, caller, endpoint, status, and latency; mutating requests additionally log to audit_logs per Volume IV, Chapter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is applied per authenticated caller (user or service credential) to protect shared infrastructure, with limits generous enough not to interfere with normal portal usage.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7 — Future GraphQL Compatibility</w:t>
      </w:r>
    </w:p>
    <w:p>
      <w:pPr>
        <w:spacing w:after="160"/>
      </w:pPr>
      <w:r>
        <w:t xml:space="preserve">Resource and field naming conventions established in this REST API are chosen so a future GraphQL schema can be generated largely mechanically from the same underlying resource model, avoiding a second, divergent API design effort if/when GraphQL becomes justified by client complexity (e.g. deeply nested portal dashboard queries).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Next volume: 10-Roadmap — Technical, Module, AI, UI, Database, Deployment, Testing &amp; Release Roadmaps.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B2F3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CDD2"/>
        <w:sz w:val="16"/>
        <w:szCs w:val="16"/>
      </w:rPr>
      <w:t xml:space="preserve">GOTTLIEB BUILD &amp; DESIGN · VOLUME 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b/>
      <w:bCs/>
      <w:color w:val="07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b/>
      <w:bCs/>
      <w:color w:val="0E5AA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B2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2026-08-04T17:23:10.511Z</dcterms:created>
  <dcterms:modified xsi:type="dcterms:W3CDTF">2026-08-04T17:23:10.511Z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