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E5AA7"/>
          <w:sz w:val="26"/>
          <w:szCs w:val="26"/>
        </w:rPr>
        <w:t xml:space="preserve">GOTTLIEB BUILD &amp; DESIGN</w:t>
      </w:r>
    </w:p>
    <w:p>
      <w:pPr>
        <w:spacing w:after="400" w:before="100"/>
        <w:jc w:val="center"/>
      </w:pPr>
      <w:r>
        <w:rPr>
          <w:color w:val="2B2F36"/>
          <w:sz w:val="20"/>
          <w:szCs w:val="20"/>
        </w:rPr>
        <w:t xml:space="preserve">CONSTRUCTION OPERATING SYSTEM</w:t>
      </w:r>
    </w:p>
    <w:p>
      <w:pPr>
        <w:spacing w:before="800"/>
        <w:jc w:val="center"/>
      </w:pPr>
      <w:r>
        <w:rPr>
          <w:b/>
          <w:bCs/>
          <w:color w:val="071B2E"/>
          <w:sz w:val="56"/>
          <w:szCs w:val="56"/>
        </w:rPr>
        <w:t xml:space="preserve">VOLUME X</w:t>
      </w:r>
    </w:p>
    <w:p>
      <w:pPr>
        <w:spacing w:after="800" w:before="200"/>
        <w:jc w:val="center"/>
      </w:pPr>
      <w:r>
        <w:rPr>
          <w:i/>
          <w:iCs/>
          <w:color w:val="0E5AA7"/>
          <w:sz w:val="24"/>
          <w:szCs w:val="24"/>
        </w:rPr>
        <w:t xml:space="preserve">Development, Technical &amp; Release Roadmap</w:t>
      </w:r>
    </w:p>
    <w:p>
      <w:pPr>
        <w:spacing w:before="2400"/>
        <w:jc w:val="center"/>
      </w:pPr>
      <w:r>
        <w:rPr>
          <w:color w:val="2B2F36"/>
          <w:sz w:val="20"/>
          <w:szCs w:val="20"/>
        </w:rPr>
        <w:t xml:space="preserve">CLAUDE MASTER PROMPT 001 · Document 10-Roadmap</w:t>
      </w:r>
    </w:p>
    <w:p>
      <w:pPr>
        <w:spacing w:before="100"/>
        <w:jc w:val="center"/>
      </w:pPr>
      <w:r>
        <w:rPr>
          <w:color w:val="2B2F36"/>
          <w:sz w:val="20"/>
          <w:szCs w:val="20"/>
        </w:rPr>
        <w:t xml:space="preserve">Master Product Requirements Document — Volume X</w:t>
      </w:r>
    </w:p>
    <w:p>
      <w:pPr>
        <w:spacing w:before="100"/>
        <w:jc w:val="center"/>
      </w:pPr>
      <w:r>
        <w:rPr>
          <w:b/>
          <w:bCs/>
          <w:color w:val="C9CDD2"/>
          <w:sz w:val="18"/>
          <w:szCs w:val="18"/>
        </w:rPr>
        <w:t xml:space="preserve">Status: Draft for Approval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color w:val="071B2E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color w:val="071B2E"/>
        </w:rPr>
        <w:t xml:space="preserve">Chapter 1 — Roadmap Philosophy</w:t>
      </w:r>
    </w:p>
    <w:p>
      <w:pPr>
        <w:spacing w:after="160"/>
      </w:pPr>
      <w:r>
        <w:t xml:space="preserve">The roadmap sequences delivery around one governing rule: a phase ships only when it is fully usable end-to-end for its target roles, not when individual features are merely code-complete. Phase 1 is deliberately narrower than the platform's long-term vision (Volume I, Chapter 4) so that the core project/estimating/portal loop reaches real users quickly, with AI and advanced 3D capability layered on top of a proven foundation rather than built in parallel with it.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2 — Phased Release Roadmap</w:t>
      </w:r>
    </w:p>
    <w:p>
      <w:pPr>
        <w:pStyle w:val="Heading2"/>
        <w:spacing w:after="180" w:before="360"/>
      </w:pPr>
      <w:r>
        <w:rPr>
          <w:color w:val="0E5AA7"/>
        </w:rPr>
        <w:t xml:space="preserve">2.1 Phase 1 — Foundation</w:t>
      </w:r>
    </w:p>
    <w:p>
      <w:pPr>
        <w:spacing w:after="160"/>
      </w:pPr>
      <w:r>
        <w:t xml:space="preserve">Goal: a Project Manager can run a real project end-to-end, and a Client can see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Projects module with the 21-phase timeline (Volume VI, Ch.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database schema and RLS for Identity, Project, and Financial domains (Volume IV, V)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Estimating (manual entry, no AI)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Blueprint Studio (upload, version, manual comparison)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Approvals, Invoices, Payments (manual entry, Document Generator integration live)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Portal: progress, documents, approvals, messages (no 3D Studio yet)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(in-app + email)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Settings, user/role management</w:t>
      </w:r>
    </w:p>
    <w:p>
      <w:pPr>
        <w:pStyle w:val="Heading2"/>
        <w:spacing w:after="180" w:before="360"/>
      </w:pPr>
      <w:r>
        <w:rPr>
          <w:color w:val="0E5AA7"/>
        </w:rPr>
        <w:t xml:space="preserve">2.2 Phase 2 — Visualization &amp; Collaboration</w:t>
      </w:r>
    </w:p>
    <w:p>
      <w:pPr>
        <w:spacing w:after="160"/>
      </w:pPr>
      <w:r>
        <w:t xml:space="preserve">Goal: the signature 3D experience goes live, and the full portal ecosystem opens.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3D Design Studio v1 (Volume VIII): viewer, material configurator, approvals-linked change 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 Studio catalog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Portal and Subcontractor Portal (Volume VI, Ch. 12–13)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Scheduling with dependency awareness (no AI yet)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 v1 (Volume VI, Ch. 16)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16-language i18n rollout including RTL (Volume II, Ch. 6)</w:t>
      </w:r>
    </w:p>
    <w:p>
      <w:pPr>
        <w:pStyle w:val="Heading2"/>
        <w:spacing w:after="180" w:before="360"/>
      </w:pPr>
      <w:r>
        <w:rPr>
          <w:color w:val="0E5AA7"/>
        </w:rPr>
        <w:t xml:space="preserve">2.3 Phase 3 — Intelligence Layer</w:t>
      </w:r>
    </w:p>
    <w:p>
      <w:pPr>
        <w:spacing w:after="160"/>
      </w:pPr>
      <w:r>
        <w:t xml:space="preserve">Goal: AI augments the highest-leverage workflows without becoming a dependency for core operation (Volume VII, Ch. 1, 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Estimating: Voice Dictation, Photo Upload, Blueprint Upload inputs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Blueprint Intelligence: recognition and automated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Construction Assistant (internal roles first, then scoped Client access)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Scheduling risk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Project Analytics</w:t>
      </w:r>
    </w:p>
    <w:p>
      <w:pPr>
        <w:pStyle w:val="Heading2"/>
        <w:spacing w:after="180" w:before="360"/>
      </w:pPr>
      <w:r>
        <w:rPr>
          <w:color w:val="0E5AA7"/>
        </w:rPr>
        <w:t xml:space="preserve">2.4 Phase 4 — Scale &amp; Extension</w:t>
      </w:r>
    </w:p>
    <w:p>
      <w:pPr>
        <w:spacing w:after="160"/>
      </w:pPr>
      <w:r>
        <w:t xml:space="preserve">Goal: extend capture and integration surface as usage volume justifies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AWS-backed media processing and rendering job queues (Volume III, Ch. 2.3)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RoomPlan / Matterport capture pipeline (Volume III, Ch. 5.3; Volume VIII, Ch. 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Autodesk Platform Services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Document Generation drafting assistance (Volume VII, Ch. 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apps (native or PWA, evaluated against Phase 1–3 web usage data)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3 — Technical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1: establish CI/CD (Volume III, Ch. 7), environment strategy (Ch. 4), and the shared component library (Volume II) before feature work begins.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2: introduce Realtime-backed collaboration features (Volume III, Ch. 2.2) and harden storage/signed-URL patterns for the higher media volume 3D and portals introduce.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3: introduce AI service integration points (Volume VII) as isolated, independently deployable services callable from the core app, not embedded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4: introduce AWS services only once Supabase/Vercel scaling limits are actually observed in production metrics, not preemptively.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4 — Module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Introduced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Dashboard, Projects, Settings, Notifications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Estimating (manual), Blueprint Studio (manual), Approvals, Invoices, Payments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Portal (core)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3D Design Studio, Material Studio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Vendor Portal, Subcontractor Portal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Scheduling (dependency-aware), Reports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Construction / field daily reporting depth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Integration (deepened self-serve visibility)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5 — AI Roadmap</w:t>
      </w:r>
    </w:p>
    <w:p>
      <w:pPr>
        <w:spacing w:after="160"/>
      </w:pPr>
      <w:r>
        <w:t xml:space="preserve">Sequenced per Volume VII, Chapter 9: AI Estimating and Blueprint Intelligence first, then the AI Construction Assistant, then AI Scheduling and Analytics, with AI Document Generation drafting assistance last, gated on Document Generator integration stability (Volume IX).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6 — UI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1: full design system implementation (Volume II) across Phase 1 modules — no placeholder or generic-library styling ships even in the earliest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2: 3D Studio-specific visual language (Volume VIII, Ch. 7) and full RTL layout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3: AI-surfaced UI patterns (suggestion chips, assistant panel) designed to feel native to the existing system, not bolted on.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7 — Database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1: Identity, Project, Estimating/Financial, and Document Integration domains (Volume IV, Ch. 2.1–2.3, 2.8).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2: Blueprint &amp; Design domain fully built out including glb_models and material_selections; Field &amp; Progress and Vendor/Subcontractor domains.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3: schema additions to support AI feature metadata (confidence scores, suggestion provenance) without altering core operational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phase transition follows the additive-first migration discipline in Volume IV, Chapter 6 — no destructive migrations against production data.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8 — Deployment Roadmap</w:t>
      </w:r>
    </w:p>
    <w:p>
      <w:pPr>
        <w:spacing w:after="160"/>
      </w:pPr>
      <w:r>
        <w:t xml:space="preserve">Environment strategy (Volume III, Chapter 4) is established before Phase 1 feature work begins. Each phase deploys through the same preview → staging → production pipeline (Volume III, Chapter 7); no phase introduces a parallel or shortcut deployment path.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9 — Testing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1: RLS policy test coverage (Volume V, Ch. 9) for every table shipped; core workflow end-to-end tests for the Project Manager and Client journeys.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2: portal-isolation multi-tenant test fixtures (Volume V, Ch. 6); 3D Studio performance testing against the polygon/texture budgets (Volume VIII, Ch. 2A).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3: AI output review-before-commit behavior explicitly tested (Volume VII, Ch. 1) — no AI feature can be verified as complete unless its fallback-to-manual path is also tested.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10 — Release &amp; Scaling Roadmap</w:t>
      </w:r>
    </w:p>
    <w:p>
      <w:pPr>
        <w:spacing w:after="160"/>
      </w:pPr>
      <w:r>
        <w:t xml:space="preserve">Phase 1 targets an initial cohort of live projects under close PM/Administrator supervision before wider rollout. Each subsequent phase's entry criterion is stable, low-incident operation of the prior phase's modules in production — not a fixed calendar date. Scaling decisions (Chapter 3, Phase 4) are driven by observed Supabase and Vercel metrics against the non-functional targets in Volume III, Chapter 6, keeping the platform's growth evidence-based rather than speculative.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11 — Closing Statement</w:t>
      </w:r>
    </w:p>
    <w:p>
      <w:pPr>
        <w:spacing w:after="160"/>
      </w:pPr>
      <w:r>
        <w:t xml:space="preserve">This ten-volume PRD is the complete architectural, product, design, and operational foundation for Gottlieb Build &amp; Design. Every subsequent build prompt should cite the specific volume and chapter it implements, and any scope change material enough to contradict a volume should be resolved by revising that volume, not by silent drift in the code. With this foundation approved, the platform is ready to move from specification into the Phase 1 build.</w:t>
      </w:r>
    </w:p>
    <w:tbl>
      <w:tblPr>
        <w:tblW w:type="pct" w:w="100%"/>
        <w:tblBorders>
          <w:top w:val="single" w:color="0E5AA7" w:sz="4"/>
          <w:left w:val="single" w:color="0E5AA7" w:sz="4"/>
          <w:bottom w:val="single" w:color="0E5AA7" w:sz="4"/>
          <w:right w:val="single" w:color="0E5AA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071B2E"/>
              </w:rPr>
              <w:t xml:space="preserve">End of Master Product Requirements Document. Volumes I–X complete.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B2F3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C9CDD2"/>
        <w:sz w:val="16"/>
        <w:szCs w:val="16"/>
      </w:rPr>
      <w:t xml:space="preserve">GOTTLIEB BUILD &amp; DESIGN · VOLUME 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b/>
      <w:bCs/>
      <w:color w:val="071B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360"/>
    </w:pPr>
    <w:rPr>
      <w:b/>
      <w:bCs/>
      <w:color w:val="0E5AA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b/>
      <w:bCs/>
      <w:color w:val="2B2F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2026-08-04T17:23:52.277Z</dcterms:created>
  <dcterms:modified xsi:type="dcterms:W3CDTF">2026-08-04T17:23:52.277Z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