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5AA7"/>
          <w:sz w:val="26"/>
          <w:szCs w:val="26"/>
        </w:rPr>
        <w:t xml:space="preserve">GOTTLIEB BUILD &amp; DESIGN</w:t>
      </w:r>
    </w:p>
    <w:p>
      <w:pPr>
        <w:spacing w:after="400" w:before="100"/>
        <w:jc w:val="center"/>
      </w:pPr>
      <w:r>
        <w:rPr>
          <w:color w:val="2B2F36"/>
          <w:sz w:val="20"/>
          <w:szCs w:val="20"/>
        </w:rPr>
        <w:t xml:space="preserve">CONSTRUCTION OPERATING SYSTEM</w:t>
      </w:r>
    </w:p>
    <w:p>
      <w:pPr>
        <w:spacing w:before="800"/>
        <w:jc w:val="center"/>
      </w:pPr>
      <w:r>
        <w:rPr>
          <w:b/>
          <w:bCs/>
          <w:color w:val="071B2E"/>
          <w:sz w:val="56"/>
          <w:szCs w:val="56"/>
        </w:rPr>
        <w:t xml:space="preserve">ENGINEERING
STANDARDS</w:t>
      </w:r>
    </w:p>
    <w:p>
      <w:pPr>
        <w:spacing w:after="800" w:before="200"/>
        <w:jc w:val="center"/>
      </w:pPr>
      <w:r>
        <w:rPr>
          <w:i/>
          <w:iCs/>
          <w:color w:val="0E5AA7"/>
          <w:sz w:val="24"/>
          <w:szCs w:val="24"/>
        </w:rPr>
        <w:t xml:space="preserve">Technical Architecture &amp; Engineering Standards Manual</w:t>
      </w:r>
    </w:p>
    <w:p>
      <w:pPr>
        <w:spacing w:before="2400"/>
        <w:jc w:val="center"/>
      </w:pPr>
      <w:r>
        <w:rPr>
          <w:color w:val="2B2F36"/>
          <w:sz w:val="20"/>
          <w:szCs w:val="20"/>
        </w:rPr>
        <w:t xml:space="preserve">CLAUDE MASTER PROMPT 002 · Document 11-Engineering-Standards</w:t>
      </w:r>
    </w:p>
    <w:p>
      <w:pPr>
        <w:spacing w:before="100"/>
        <w:jc w:val="center"/>
      </w:pPr>
      <w:r>
        <w:rPr>
          <w:color w:val="2B2F36"/>
          <w:sz w:val="20"/>
          <w:szCs w:val="20"/>
        </w:rPr>
        <w:t xml:space="preserve">Companion to the Master Product Requirements Document (Volumes I–X)</w:t>
      </w:r>
    </w:p>
    <w:p>
      <w:pPr>
        <w:spacing w:before="100"/>
        <w:jc w:val="center"/>
      </w:pPr>
      <w:r>
        <w:rPr>
          <w:b/>
          <w:bCs/>
          <w:color w:val="C9CDD2"/>
          <w:sz w:val="18"/>
          <w:szCs w:val="18"/>
        </w:rPr>
        <w:t xml:space="preserve">Status: Draft for Approval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Chapter 1 — Purpose &amp; Governing Rules</w:t>
      </w:r>
    </w:p>
    <w:p>
      <w:pPr>
        <w:spacing w:after="160"/>
      </w:pPr>
      <w:r>
        <w:t xml:space="preserve">This manual is the Engineering Standards for Gottlieb Build &amp; Design, built on the approved Master PRD (Volumes I–X). It does not redesign the architecture, change the technology stack, or specify application features — it defines how every future module is built so the codebase stays consistent regardless of which engineer or AI assistant writes it.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Governing rule: if a pattern in this manual conflicts with a future build prompt, this manual wins unless formally revised. Every pull request is reviewable against this document.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2 — Application Architecture Layers</w:t>
      </w:r>
    </w:p>
    <w:p>
      <w:pPr>
        <w:spacing w:after="160"/>
      </w:pPr>
      <w:r>
        <w:t xml:space="preserve">The application is organized into distinct layers, each with a single responsibility, matching the repository layout from PRD Volume III: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groups per portal, pages, server actions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UI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/packages/ui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Design-system components (Volume II tokens baked in)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Hooks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/packages/hooks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React hooks (data fetching, form state, realtime subscriptions)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Services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/packages/services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Typed clients for Supabase, Document Generator, AI providers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Types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/packages/types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Supabase types + hand-written domain types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Utilities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/packages/utils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 functions: formatting, validation, calculations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Config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/packages/config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tokens, feature flags, environment schema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/supabase/migrations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Schema, RLS policies, seed data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/app/api or server actions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Typed request handlers enforcing RLS-equivalent checks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Generator 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/packages/services/document-generator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Outbound requests + inbound webhook handling (PRD Vol. IX)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Engine 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/packages/three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Three Fiber viewer primitives, material-swap logic (PRD Vol. VIII)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Services 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/packages/ai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Estimating, Assistant, and Analytics service clients (PRD Vol. VII)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Future AWS 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/packages/aws (reserved)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 processing, rendering job queues — not implemented until Phase 4</w:t>
            </w:r>
          </w:p>
        </w:tc>
      </w:tr>
    </w:tbl>
    <w:p>
      <w:pPr>
        <w:pStyle w:val="Heading2"/>
        <w:spacing w:after="180" w:before="360"/>
      </w:pPr>
      <w:r>
        <w:rPr>
          <w:color w:val="0E5AA7"/>
        </w:rPr>
        <w:t xml:space="preserve">2.1 Dependency Direction</w:t>
      </w:r>
    </w:p>
    <w:p>
      <w:pPr>
        <w:spacing w:after="160"/>
      </w:pPr>
      <w:r>
        <w:t xml:space="preserve">Dependencies flow one way: /app depends on /packages, never the reverse. Within /packages, ui and utils have no dependency on services or hooks, so design-system components stay portable and testable in isolation. The 3D Engine and AI Services layers depend on Shared Types and Shared Services but never directly on /app.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3 — Folder Structure &amp; Naming Conventions</w:t>
      </w:r>
    </w:p>
    <w:p>
      <w:pPr>
        <w:pStyle w:val="Heading2"/>
        <w:spacing w:after="180" w:before="360"/>
      </w:pPr>
      <w:r>
        <w:rPr>
          <w:color w:val="0E5AA7"/>
        </w:rPr>
        <w:t xml:space="preserve">3.1 Folder Structure</w:t>
      </w:r>
    </w:p>
    <w:p>
      <w:pPr>
        <w:spacing w:after="160"/>
      </w:pPr>
      <w:r>
        <w:t xml:space="preserve">Route groups mirror the portals defined in PRD Volume III, Chapter 3.2: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app/(internal)/... — PM, Estimator, Superintendent, Admin, Accountant, Office Staff 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app/(client)/... — Client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app/(vendor)/... — Vendor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app/(subcontractor)/... — Subcontractor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app/(architect)/, app/(engineer)/, app/(inspector)/ — remaining portals</w:t>
      </w:r>
    </w:p>
    <w:p>
      <w:pPr>
        <w:pStyle w:val="Heading2"/>
        <w:spacing w:after="180" w:before="360"/>
      </w:pPr>
      <w:r>
        <w:rPr>
          <w:color w:val="0E5AA7"/>
        </w:rPr>
        <w:t xml:space="preserve">3.2 File Naming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Components: PascalCase — MaterialSelector.tsx, ApprovalCard.tsx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Hooks: camelCase prefixed with use — useProjectPhases.ts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actions: camelCase verb-first — createEstimate.ts, approveChangeOrder.ts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Types: PascalCase, suffixed by domain where useful — Project, EstimateLineItem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tables/columns: snake_case, matching PRD Volume IV exactly (e.g. estimate_line_items, project_id)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Routes: kebab-case — /projects/[id]/change-orders</w:t>
      </w:r>
    </w:p>
    <w:p>
      <w:pPr>
        <w:pStyle w:val="Heading2"/>
        <w:spacing w:after="180" w:before="360"/>
      </w:pPr>
      <w:r>
        <w:rPr>
          <w:color w:val="0E5AA7"/>
        </w:rPr>
        <w:t xml:space="preserve">3.3 Component File Co-location</w:t>
      </w:r>
    </w:p>
    <w:p>
      <w:pPr>
        <w:spacing w:after="160"/>
      </w:pPr>
      <w:r>
        <w:t xml:space="preserve">Each non-trivial component gets its own folder with the component, its styles (if any beyond Tailwind classes), and its test file colocated: ComponentName/ComponentName.tsx, ComponentName.test.tsx, index.ts re-export. This keeps related code together without a separate parallel test tree to keep in sync.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4 — Component Standards</w:t>
      </w:r>
    </w:p>
    <w:p>
      <w:pPr>
        <w:pStyle w:val="Heading2"/>
        <w:spacing w:after="180" w:before="360"/>
      </w:pPr>
      <w:r>
        <w:rPr>
          <w:color w:val="0E5AA7"/>
        </w:rPr>
        <w:t xml:space="preserve">4.1 Server vs. Client Components</w:t>
      </w:r>
    </w:p>
    <w:p>
      <w:pPr>
        <w:spacing w:after="160"/>
      </w:pPr>
      <w:r>
        <w:t xml:space="preserve">Default to Server Components. A component becomes a Client Component only when it needs interactivity, browser APIs, or React state/effects — the 3D Viewer, forms, and the Approvals UI are Client Components; static display views (dashboards' read-only cards, timeline displays) stay server-rendered.</w:t>
      </w:r>
    </w:p>
    <w:p>
      <w:pPr>
        <w:pStyle w:val="Heading2"/>
        <w:spacing w:after="180" w:before="360"/>
      </w:pPr>
      <w:r>
        <w:rPr>
          <w:color w:val="0E5AA7"/>
        </w:rPr>
        <w:t xml:space="preserve">4.2 Props &amp; Composition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Props are explicitly typed, never any; optional props have sensible defaults rather than scattered null checks downstream.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 favor composition (children, slots) over large boolean-flag prop lists that branch internal rendering.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component reaches into global state for data it could receive as a prop — this keeps components testable and reusable across portals.</w:t>
      </w:r>
    </w:p>
    <w:p>
      <w:pPr>
        <w:pStyle w:val="Heading2"/>
        <w:spacing w:after="180" w:before="360"/>
      </w:pPr>
      <w:r>
        <w:rPr>
          <w:color w:val="0E5AA7"/>
        </w:rPr>
        <w:t xml:space="preserve">4.3 State Management</w:t>
      </w:r>
    </w:p>
    <w:p>
      <w:pPr>
        <w:spacing w:after="160"/>
      </w:pPr>
      <w:r>
        <w:t xml:space="preserve">Server state (projects, estimates, approvals) is fetched via Server Components or typed data hooks backed by Supabase queries — never duplicated into client-side global stores. Client-only UI state (open/closed modals, form drafts, 3D viewer camera position) uses local React state or, where genuinely shared across a subtree, React context scoped to that subtree — never a single app-wide store.</w:t>
      </w:r>
    </w:p>
    <w:p>
      <w:pPr>
        <w:pStyle w:val="Heading2"/>
        <w:spacing w:after="180" w:before="360"/>
      </w:pPr>
      <w:r>
        <w:rPr>
          <w:color w:val="0E5AA7"/>
        </w:rPr>
        <w:t xml:space="preserve">4.4 Required Shared Primitives</w:t>
      </w:r>
    </w:p>
    <w:p>
      <w:pPr>
        <w:spacing w:after="160"/>
      </w:pPr>
      <w:r>
        <w:t xml:space="preserve">The following are built once in /packages/ui and reused everywhere, per PRD Volume II, Chapter 4: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Layouts (per portal, per Volume II Chapter 8 consistency)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states (skeletons matching each primitive's shape, not generic spinners)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boundaries (portal-level and module-level)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 forms (with shared validation display)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Tables (the compact data-density system from Volume II, Chapter 4.4)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(Deep Navy chrome per Volume II, Chapter 4.3)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Modals &amp; Dialogs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 (drives Progress Tracking, PRD Vol. VI Ch.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components (blueprints, media, GLB models)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components (the common approval_requests UI, PRD Vol. VI Ch. 14)</w:t>
      </w:r>
    </w:p>
    <w:p>
      <w:pPr>
        <w:pStyle w:val="Heading2"/>
        <w:spacing w:after="180" w:before="360"/>
      </w:pPr>
      <w:r>
        <w:rPr>
          <w:color w:val="0E5AA7"/>
        </w:rPr>
        <w:t xml:space="preserve">4.5 Loading &amp; Error States</w:t>
      </w:r>
    </w:p>
    <w:p>
      <w:pPr>
        <w:spacing w:after="160"/>
      </w:pPr>
      <w:r>
        <w:t xml:space="preserve">Every route segment that fetches data ships a loading.tsx and error.tsx. Error boundaries surface a retry action where the failure is plausibly transient (network) and a clear explanation where it is not (permission denied).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5 — Database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snake_case tables and columns; plural table names (projects, estimates)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Keys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(gen_random_uuid()) on every table — no serial/integer PKs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Foreign Keys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Named {referenced_table_singular}_id (e.g. project_id); always indexed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 Deletes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deleted_at timestamptz, nullable, on financial/legal/audit-relevant tables (PRD Vol. IV Ch. 1)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 Fields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created_at, updated_at, created_by, updated_by on every table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Fields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 enum types, never free-text status strings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Immutable rows for approved records (estimates, contracts); revisions insert a new version row with a version integer, never UPDATE the approved row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Indexes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FK indexed by default; composite/partial indexes added per observed query pattern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 References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paths stored as text columns, never binary blobs in Postgres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Permissions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table ships an RLS policy in the same migration that creates it — no follow-up migration to 'add RLS later'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6 — Supabase Conventions</w:t>
      </w:r>
    </w:p>
    <w:p>
      <w:pPr>
        <w:pStyle w:val="Heading2"/>
        <w:spacing w:after="180" w:before="360"/>
      </w:pPr>
      <w:r>
        <w:rPr>
          <w:color w:val="0E5AA7"/>
        </w:rPr>
        <w:t xml:space="preserve">6.1 Authentication</w:t>
      </w:r>
    </w:p>
    <w:p>
      <w:pPr>
        <w:spacing w:after="160"/>
      </w:pPr>
      <w:r>
        <w:t xml:space="preserve">Supabase Auth is the sole identity provider (PRD Vol. III, Ch. 2.2). Role and project-membership data lives in application tables (users, user_project_roles), never encoded solely in JWT custom claims, so permission changes take effect without requiring a token refresh.</w:t>
      </w:r>
    </w:p>
    <w:p>
      <w:pPr>
        <w:pStyle w:val="Heading2"/>
        <w:spacing w:after="180" w:before="360"/>
      </w:pPr>
      <w:r>
        <w:rPr>
          <w:color w:val="0E5AA7"/>
        </w:rPr>
        <w:t xml:space="preserve">6.2 Storage</w:t>
      </w:r>
    </w:p>
    <w:p>
      <w:pPr>
        <w:spacing w:after="160"/>
      </w:pPr>
      <w:r>
        <w:t xml:space="preserve">Buckets are organized by domain, not by project (PRD Vol. IV, Ch. 5). All client access to files goes through signed URLs generated server-side after an RLS-equivalent permission check — no bucket is ever made public.</w:t>
      </w:r>
    </w:p>
    <w:p>
      <w:pPr>
        <w:pStyle w:val="Heading2"/>
        <w:spacing w:after="180" w:before="360"/>
      </w:pPr>
      <w:r>
        <w:rPr>
          <w:color w:val="0E5AA7"/>
        </w:rPr>
        <w:t xml:space="preserve">6.3 Realtime</w:t>
      </w:r>
    </w:p>
    <w:p>
      <w:pPr>
        <w:spacing w:after="160"/>
      </w:pPr>
      <w:r>
        <w:t xml:space="preserve">Realtime subscriptions are scoped to the narrowest channel that satisfies the UI need (e.g. a single project's notifications channel, not a global table subscription), to keep client-side fan-out manageable as project count grows.</w:t>
      </w:r>
    </w:p>
    <w:p>
      <w:pPr>
        <w:pStyle w:val="Heading2"/>
        <w:spacing w:after="180" w:before="360"/>
      </w:pPr>
      <w:r>
        <w:rPr>
          <w:color w:val="0E5AA7"/>
        </w:rPr>
        <w:t xml:space="preserve">6.4 Functions</w:t>
      </w:r>
    </w:p>
    <w:p>
      <w:pPr>
        <w:spacing w:after="160"/>
      </w:pPr>
      <w:r>
        <w:t xml:space="preserve">Postgres functions/triggers are used for logic that must be atomic with a write and cannot be trusted to application code alone — audit logging (PRD Vol. IV Ch. 4) and status-transition validation (e.g. preventing an approval from skipping states) are the primary use cases. General business logic stays in the application layer for testability.</w:t>
      </w:r>
    </w:p>
    <w:p>
      <w:pPr>
        <w:pStyle w:val="Heading2"/>
        <w:spacing w:after="180" w:before="360"/>
      </w:pPr>
      <w:r>
        <w:rPr>
          <w:color w:val="0E5AA7"/>
        </w:rPr>
        <w:t xml:space="preserve">6.5 Row Level Security</w:t>
      </w:r>
    </w:p>
    <w:p>
      <w:pPr>
        <w:spacing w:after="160"/>
      </w:pPr>
      <w:r>
        <w:t xml:space="preserve">Every table uses one of the three patterns defined in PRD Volume V, Chapter 4 (Project-Membership, Ownership, or Global-Only). A new pattern requires an explicit addition to this manual, not an ad hoc one-off policy — this keeps the permission model auditable as a small, closed set of shapes.</w:t>
      </w:r>
    </w:p>
    <w:p>
      <w:pPr>
        <w:pStyle w:val="Heading2"/>
        <w:spacing w:after="180" w:before="360"/>
      </w:pPr>
      <w:r>
        <w:rPr>
          <w:color w:val="0E5AA7"/>
        </w:rPr>
        <w:t xml:space="preserve">6.6 Migrations &amp;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are sequential, timestamped, and reversible where feasible; destructive changes follow the two-step process from PRD Vol. IV, Ch.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variables are validated at startup against a typed schema (in /packages/config) — the app fails fast on a missing/malformed variable rather than at first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never appear in migration files, seed data, or committed .env files — only in Vercel/GitHub Actions secret stores.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7 — GitHub Workflow</w:t>
      </w:r>
    </w:p>
    <w:p>
      <w:pPr>
        <w:pStyle w:val="Heading2"/>
        <w:spacing w:after="180" w:before="360"/>
      </w:pPr>
      <w:r>
        <w:rPr>
          <w:color w:val="0E5AA7"/>
        </w:rPr>
        <w:t xml:space="preserve">7.1 Branch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— always deployable, protected, requires PR review and passing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feature/{module}-{short-description} — one branch per unit of work, branched from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hotfix/{short-description} — for urgent production fixes, merged directly to main with expedited review</w:t>
      </w:r>
    </w:p>
    <w:p>
      <w:pPr>
        <w:pStyle w:val="Heading2"/>
        <w:spacing w:after="180" w:before="360"/>
      </w:pPr>
      <w:r>
        <w:rPr>
          <w:color w:val="0E5AA7"/>
        </w:rPr>
        <w:t xml:space="preserve">7.2 Commit Standards</w:t>
      </w:r>
    </w:p>
    <w:p>
      <w:pPr>
        <w:spacing w:after="160"/>
      </w:pPr>
      <w:r>
        <w:t xml:space="preserve">Conventional Commits format: type(scope): description — e.g. feat(estimating): add change order line-item editor, fix(rls): correct subcontractor portal isolation policy. Types: feat, fix, docs, refactor, test, chore.</w:t>
      </w:r>
    </w:p>
    <w:p>
      <w:pPr>
        <w:pStyle w:val="Heading2"/>
        <w:spacing w:after="180" w:before="360"/>
      </w:pPr>
      <w:r>
        <w:rPr>
          <w:color w:val="0E5AA7"/>
        </w:rPr>
        <w:t xml:space="preserve">7.3 Pull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 references the PRD volume/chapter and this manual's chapter it implements.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PRs include before/after screenshots for any UI change, given the visual-consistency requirements in PRD Vol. II.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(lint, type-check, tests, RLS policy checks) must pass before review; review requires at least one approval.</w:t>
      </w:r>
    </w:p>
    <w:p>
      <w:pPr>
        <w:pStyle w:val="Heading2"/>
        <w:spacing w:after="180" w:before="360"/>
      </w:pPr>
      <w:r>
        <w:rPr>
          <w:color w:val="0E5AA7"/>
        </w:rPr>
        <w:t xml:space="preserve">7.4 Versioning &amp; Releases</w:t>
      </w:r>
    </w:p>
    <w:p>
      <w:pPr>
        <w:spacing w:after="160"/>
      </w:pPr>
      <w:r>
        <w:t xml:space="preserve">Semantic versioning (MAJOR.MINOR.PATCH) tagged on main at each production deployment. Release notes are generated from Conventional Commit history and grouped by PRD module, matching PRD Volume X's phased roadmap.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8 — Testing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Tooling Approach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 functions in /packages/utils, business logic helpers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Fast, isolated, no network/database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actions and API routes against a real (test) Supabase instance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Verifies RLS policies actually enforce Volume V's rules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End-to-End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user journeys (PM creates project, Client approves selection)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against a seeded staging-like environment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RLS coverage (PRD Vol. V, Ch. 9), auth boundary checks, portal isolation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Multi-role and multi-tenant test fixtures per role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WCAG 2.1 AA conformance (PRD Vol. III, Ch. 6)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checks in CI plus periodic manual review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3D Studio frame rate against polygon budgets, dashboard TTFB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Budget-based CI checks, not just manual spot-checks</w:t>
            </w:r>
          </w:p>
        </w:tc>
      </w:tr>
    </w:tbl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No table ships without at least one integration test proving its RLS policy denies unauthorized access — an untested policy is treated as an unverified policy, per PRD Vol. V, Ch. 9.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9 —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Caching — server-rendered pages use Next.js caching/revalidation tuned per data volatility (project list revalidates more often than settings); nothing is cached in a way that could leak one client's data into another's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loading — route-level code splitting by default; the 3D Studio and its Three.js dependencies load only when a user enters that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optimization — all media assets served through an image-optimization pipeline (resized, modern formats) rather than raw uploads.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loading — GLB models load progressively (low-detail proxy first where scene size warrants it) and respect the device-class polygon budgets from PRD Vol. VIII, Ch. 2A.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optimization — texture compression and draw-call batching applied at the Blender export step, not patched at runtime.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optimization — the indexing strategy from Chapter 5 plus query review for any endpoint exceeding its latency budget.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optimization — N+1 query patterns are treated as bugs; batched/joined queries are the default for list 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&amp; infinite scrolling — all list endpoints are paginated by default; infinite scroll is a UI treatment over the same paginated API, never a full-table fetch.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processing — long-running work (document generation callbacks, AI processing) is handled asynchronously and reflected via Realtime/notifications, never blocking a request-response cycle.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10 — Security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— Supabase Auth exclusively; no parallel auth system, ever, including for the future Medical Administration OS boundary.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 — RLS is the enforced boundary (PRD Vol. V, Ch. 1); application-layer checks are UX convenience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permissions — signed URLs generated per-request against the same checks as row access (PRD Vol. IV, Ch.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 — every mutating action on financial, approval, and document-integration tables logged via Postgres triggers (PRD Vol. IV, Ch. 4), not optional per-feature logging.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— data encrypted at rest (Supabase-managed) and in transit (TLS everywhere); no plaintext secrets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— managed exclusively via Vercel/GitHub Actions secret stores, rotated on a defined schedule, never committed or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validation — every input validated against a typed schema at the API boundary before touching business logic or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— applied per authenticated caller (PRD Vol. IX, Ch. 6) to protect shared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Backups — automated Supabase backups with a documented, periodically tested restore procedure — a backup that has never been restored is not considered a working backup.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11 — AI Coding Standards</w:t>
      </w:r>
    </w:p>
    <w:p>
      <w:pPr>
        <w:spacing w:after="160"/>
      </w:pPr>
      <w:r>
        <w:t xml:space="preserve">These rules apply when Claude or any other AI assistant writes code for this repository, extending the human-review discipline in Chapter 7 to AI-generated contributions specifically: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AI-generated PR cites the PRD volume/chapter and Engineering Standards chapter it implements, exactly as required of human contributors — no unexplained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code never introduces a new RLS pattern outside the three defined in Chapter 6.5 without an explicit, separate discussion and manual 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code never hand-writes Supabase types — always regenerate from the schema, so types cannot silently drift from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assistants do not invent new shared components when an existing one in /packages/ui already covers the need — extend or compose, don't duplicate.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database migrations follow the additive-first rule (PRD Vol. IV, Ch. 6) without exception, and are never squashed or rewritten after being merged to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assistants flag, rather than silently resolve, any place where a build request seems to conflict with this manual or the PRD — consistent with the 'do not redesign the architecture' instruction that governs this very document.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12 — Document Governance</w:t>
      </w:r>
    </w:p>
    <w:p>
      <w:pPr>
        <w:spacing w:after="160"/>
      </w:pPr>
      <w:r>
        <w:t xml:space="preserve">This manual lives at /docs/11-Engineering-Standards alongside the ten PRD volumes and is versioned the same way: changes require a PR, review, and a changelog note. It is binding on all future modules — Phase 1 through Phase 5 of the PRD Volume X roadmap — and supersedes any conflicting ad hoc convention introduced in an individual PR.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With the PRD and this Engineering Standards Manual complete, the project is ready to move from documentation into Phase 1 build: GitHub repository setup, Next.js project initialization, and Supabase provisioning.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B2F3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CDD2"/>
        <w:sz w:val="16"/>
        <w:szCs w:val="16"/>
      </w:rPr>
      <w:t xml:space="preserve">GOTTLIEB BUILD &amp; DESIGN · ENGINEERING STANDARDS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b/>
      <w:bCs/>
      <w:color w:val="07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b/>
      <w:bCs/>
      <w:color w:val="0E5AA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2B2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2026-08-04T21:20:01.235Z</dcterms:created>
  <dcterms:modified xsi:type="dcterms:W3CDTF">2026-08-04T21:20:01.249Z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