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E5AA7"/>
          <w:sz w:val="26"/>
          <w:szCs w:val="26"/>
        </w:rPr>
        <w:t xml:space="preserve">GOTTLIEB BUILD &amp; DESIGN</w:t>
      </w:r>
    </w:p>
    <w:p>
      <w:pPr>
        <w:spacing w:after="400" w:before="100"/>
        <w:jc w:val="center"/>
      </w:pPr>
      <w:r>
        <w:rPr>
          <w:color w:val="2B2F36"/>
          <w:sz w:val="20"/>
          <w:szCs w:val="20"/>
        </w:rPr>
        <w:t xml:space="preserve">CONSTRUCTION OPERATING SYSTEM</w:t>
      </w:r>
    </w:p>
    <w:p>
      <w:pPr>
        <w:spacing w:before="800"/>
        <w:jc w:val="center"/>
      </w:pPr>
      <w:r>
        <w:rPr>
          <w:b/>
          <w:bCs/>
          <w:color w:val="071B2E"/>
          <w:sz w:val="56"/>
          <w:szCs w:val="56"/>
        </w:rPr>
        <w:t xml:space="preserve">MASTER
DEVELOPMENT
BIBLE</w:t>
      </w:r>
    </w:p>
    <w:p>
      <w:pPr>
        <w:spacing w:after="800" w:before="200"/>
        <w:jc w:val="center"/>
      </w:pPr>
      <w:r>
        <w:rPr>
          <w:i/>
          <w:iCs/>
          <w:color w:val="0E5AA7"/>
          <w:sz w:val="24"/>
          <w:szCs w:val="24"/>
        </w:rPr>
        <w:t xml:space="preserve">The Single Source of Truth</w:t>
      </w:r>
    </w:p>
    <w:p>
      <w:pPr>
        <w:spacing w:before="2400"/>
        <w:jc w:val="center"/>
      </w:pPr>
      <w:r>
        <w:rPr>
          <w:color w:val="2B2F36"/>
          <w:sz w:val="20"/>
          <w:szCs w:val="20"/>
        </w:rPr>
        <w:t xml:space="preserve">GOTTLIEB BUILD &amp; DESIGN · Document 00-Master-Development-Bible</w:t>
      </w:r>
    </w:p>
    <w:p>
      <w:pPr>
        <w:spacing w:before="100"/>
        <w:jc w:val="center"/>
      </w:pPr>
      <w:r>
        <w:rPr>
          <w:color w:val="2B2F36"/>
          <w:sz w:val="20"/>
          <w:szCs w:val="20"/>
        </w:rPr>
        <w:t xml:space="preserve">Consolidating the PRD, Engineering Standards, Design Bible &amp; Architecture Bible</w:t>
      </w:r>
    </w:p>
    <w:p>
      <w:pPr>
        <w:spacing w:before="100"/>
        <w:jc w:val="center"/>
      </w:pPr>
      <w:r>
        <w:rPr>
          <w:b/>
          <w:bCs/>
          <w:color w:val="C9CDD2"/>
          <w:sz w:val="18"/>
          <w:szCs w:val="18"/>
        </w:rPr>
        <w:t xml:space="preserve">Status: Draft for Approval</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color w:val="071B2E"/>
        </w:rPr>
        <w:t xml:space="preserve">Chapter 0 — How to Use This Document</w:t>
      </w:r>
    </w:p>
    <w:p>
      <w:pPr>
        <w:spacing w:after="160"/>
      </w:pPr>
      <w:r>
        <w:t xml:space="preserve">The Master Development Bible is the single source of truth for Gottlieb Build &amp; Design. It exists so every future Claude build prompt — and every future engineer — can reference one document instead of repeating requirements across conversations. It consolidates the essential, binding rules from the four frozen v1.0 documents into one navigable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800"/>
      </w:tblGrid>
      <w:tr>
        <w:trPr>
          <w:tblHeader/>
        </w:trPr>
        <w:tc>
          <w:tcPr>
            <w:shd w:fill="071B2E" w:val="clear"/>
            <w:tcMar>
              <w:top w:type="dxa" w:w="100"/>
              <w:left w:type="dxa" w:w="120"/>
              <w:bottom w:type="dxa" w:w="100"/>
              <w:right w:type="dxa" w:w="120"/>
            </w:tcMar>
          </w:tcPr>
          <w:p>
            <w:r>
              <w:rPr>
                <w:b/>
                <w:bCs/>
                <w:color w:val="FFFFFF"/>
                <w:sz w:val="20"/>
                <w:szCs w:val="20"/>
              </w:rPr>
              <w:t xml:space="preserve">Source Document</w:t>
            </w:r>
          </w:p>
        </w:tc>
        <w:tc>
          <w:tcPr>
            <w:shd w:fill="071B2E" w:val="clear"/>
            <w:tcMar>
              <w:top w:type="dxa" w:w="100"/>
              <w:left w:type="dxa" w:w="120"/>
              <w:bottom w:type="dxa" w:w="100"/>
              <w:right w:type="dxa" w:w="120"/>
            </w:tcMar>
          </w:tcPr>
          <w:p>
            <w:r>
              <w:rPr>
                <w:b/>
                <w:bCs/>
                <w:color w:val="FFFFFF"/>
                <w:sz w:val="20"/>
                <w:szCs w:val="20"/>
              </w:rPr>
              <w:t xml:space="preserve">Location</w:t>
            </w:r>
          </w:p>
        </w:tc>
        <w:tc>
          <w:tcPr>
            <w:shd w:fill="071B2E" w:val="clear"/>
            <w:tcMar>
              <w:top w:type="dxa" w:w="100"/>
              <w:left w:type="dxa" w:w="120"/>
              <w:bottom w:type="dxa" w:w="100"/>
              <w:right w:type="dxa" w:w="120"/>
            </w:tcMar>
          </w:tcPr>
          <w:p>
            <w:r>
              <w:rPr>
                <w:b/>
                <w:bCs/>
                <w:color w:val="FFFFFF"/>
                <w:sz w:val="20"/>
                <w:szCs w:val="20"/>
              </w:rPr>
              <w:t xml:space="preserve">Depth Available</w:t>
            </w:r>
          </w:p>
        </w:tc>
      </w:tr>
      <w:tr>
        <w:tc>
          <w:tcPr>
            <w:tcMar>
              <w:top w:type="dxa" w:w="100"/>
              <w:left w:type="dxa" w:w="120"/>
              <w:bottom w:type="dxa" w:w="100"/>
              <w:right w:type="dxa" w:w="120"/>
            </w:tcMar>
          </w:tcPr>
          <w:p>
            <w:r>
              <w:rPr>
                <w:b/>
                <w:bCs/>
                <w:sz w:val="20"/>
                <w:szCs w:val="20"/>
              </w:rPr>
              <w:t xml:space="preserve">Master PRD (Volumes I–X)</w:t>
            </w:r>
          </w:p>
        </w:tc>
        <w:tc>
          <w:tcPr>
            <w:tcMar>
              <w:top w:type="dxa" w:w="100"/>
              <w:left w:type="dxa" w:w="120"/>
              <w:bottom w:type="dxa" w:w="100"/>
              <w:right w:type="dxa" w:w="120"/>
            </w:tcMar>
          </w:tcPr>
          <w:p>
            <w:r>
              <w:rPr>
                <w:b w:val="false"/>
                <w:bCs w:val="false"/>
                <w:sz w:val="20"/>
                <w:szCs w:val="20"/>
              </w:rPr>
              <w:t xml:space="preserve">/docs/01-Executive through /docs/10-Roadmap</w:t>
            </w:r>
          </w:p>
        </w:tc>
        <w:tc>
          <w:tcPr>
            <w:tcMar>
              <w:top w:type="dxa" w:w="100"/>
              <w:left w:type="dxa" w:w="120"/>
              <w:bottom w:type="dxa" w:w="100"/>
              <w:right w:type="dxa" w:w="120"/>
            </w:tcMar>
          </w:tcPr>
          <w:p>
            <w:r>
              <w:rPr>
                <w:b w:val="false"/>
                <w:bCs w:val="false"/>
                <w:sz w:val="20"/>
                <w:szCs w:val="20"/>
              </w:rPr>
              <w:t xml:space="preserve">Full product specification, module-by-module</w:t>
            </w:r>
          </w:p>
        </w:tc>
      </w:tr>
      <w:tr>
        <w:tc>
          <w:tcPr>
            <w:tcMar>
              <w:top w:type="dxa" w:w="100"/>
              <w:left w:type="dxa" w:w="120"/>
              <w:bottom w:type="dxa" w:w="100"/>
              <w:right w:type="dxa" w:w="120"/>
            </w:tcMar>
          </w:tcPr>
          <w:p>
            <w:r>
              <w:rPr>
                <w:b/>
                <w:bCs/>
                <w:sz w:val="20"/>
                <w:szCs w:val="20"/>
              </w:rPr>
              <w:t xml:space="preserve">Engineering Standards Manual</w:t>
            </w:r>
          </w:p>
        </w:tc>
        <w:tc>
          <w:tcPr>
            <w:tcMar>
              <w:top w:type="dxa" w:w="100"/>
              <w:left w:type="dxa" w:w="120"/>
              <w:bottom w:type="dxa" w:w="100"/>
              <w:right w:type="dxa" w:w="120"/>
            </w:tcMar>
          </w:tcPr>
          <w:p>
            <w:r>
              <w:rPr>
                <w:b w:val="false"/>
                <w:bCs w:val="false"/>
                <w:sz w:val="20"/>
                <w:szCs w:val="20"/>
              </w:rPr>
              <w:t xml:space="preserve">/docs/11-Engineering-Standards</w:t>
            </w:r>
          </w:p>
        </w:tc>
        <w:tc>
          <w:tcPr>
            <w:tcMar>
              <w:top w:type="dxa" w:w="100"/>
              <w:left w:type="dxa" w:w="120"/>
              <w:bottom w:type="dxa" w:w="100"/>
              <w:right w:type="dxa" w:w="120"/>
            </w:tcMar>
          </w:tcPr>
          <w:p>
            <w:r>
              <w:rPr>
                <w:b w:val="false"/>
                <w:bCs w:val="false"/>
                <w:sz w:val="20"/>
                <w:szCs w:val="20"/>
              </w:rPr>
              <w:t xml:space="preserve">Full coding, database, and workflow conventions</w:t>
            </w:r>
          </w:p>
        </w:tc>
      </w:tr>
      <w:tr>
        <w:tc>
          <w:tcPr>
            <w:tcMar>
              <w:top w:type="dxa" w:w="100"/>
              <w:left w:type="dxa" w:w="120"/>
              <w:bottom w:type="dxa" w:w="100"/>
              <w:right w:type="dxa" w:w="120"/>
            </w:tcMar>
          </w:tcPr>
          <w:p>
            <w:r>
              <w:rPr>
                <w:b/>
                <w:bCs/>
                <w:sz w:val="20"/>
                <w:szCs w:val="20"/>
              </w:rPr>
              <w:t xml:space="preserve">Design Bible</w:t>
            </w:r>
          </w:p>
        </w:tc>
        <w:tc>
          <w:tcPr>
            <w:tcMar>
              <w:top w:type="dxa" w:w="100"/>
              <w:left w:type="dxa" w:w="120"/>
              <w:bottom w:type="dxa" w:w="100"/>
              <w:right w:type="dxa" w:w="120"/>
            </w:tcMar>
          </w:tcPr>
          <w:p>
            <w:r>
              <w:rPr>
                <w:b w:val="false"/>
                <w:bCs w:val="false"/>
                <w:sz w:val="20"/>
                <w:szCs w:val="20"/>
              </w:rPr>
              <w:t xml:space="preserve">/docs/12-Design-Bible</w:t>
            </w:r>
          </w:p>
        </w:tc>
        <w:tc>
          <w:tcPr>
            <w:tcMar>
              <w:top w:type="dxa" w:w="100"/>
              <w:left w:type="dxa" w:w="120"/>
              <w:bottom w:type="dxa" w:w="100"/>
              <w:right w:type="dxa" w:w="120"/>
            </w:tcMar>
          </w:tcPr>
          <w:p>
            <w:r>
              <w:rPr>
                <w:b w:val="false"/>
                <w:bCs w:val="false"/>
                <w:sz w:val="20"/>
                <w:szCs w:val="20"/>
              </w:rPr>
              <w:t xml:space="preserve">Full screen-by-screen UI/UX specification</w:t>
            </w:r>
          </w:p>
        </w:tc>
      </w:tr>
      <w:tr>
        <w:tc>
          <w:tcPr>
            <w:tcMar>
              <w:top w:type="dxa" w:w="100"/>
              <w:left w:type="dxa" w:w="120"/>
              <w:bottom w:type="dxa" w:w="100"/>
              <w:right w:type="dxa" w:w="120"/>
            </w:tcMar>
          </w:tcPr>
          <w:p>
            <w:r>
              <w:rPr>
                <w:b/>
                <w:bCs/>
                <w:sz w:val="20"/>
                <w:szCs w:val="20"/>
              </w:rPr>
              <w:t xml:space="preserve">System Architecture Bible</w:t>
            </w:r>
          </w:p>
        </w:tc>
        <w:tc>
          <w:tcPr>
            <w:tcMar>
              <w:top w:type="dxa" w:w="100"/>
              <w:left w:type="dxa" w:w="120"/>
              <w:bottom w:type="dxa" w:w="100"/>
              <w:right w:type="dxa" w:w="120"/>
            </w:tcMar>
          </w:tcPr>
          <w:p>
            <w:r>
              <w:rPr>
                <w:b w:val="false"/>
                <w:bCs w:val="false"/>
                <w:sz w:val="20"/>
                <w:szCs w:val="20"/>
              </w:rPr>
              <w:t xml:space="preserve">/docs/13-Architecture-Bible</w:t>
            </w:r>
          </w:p>
        </w:tc>
        <w:tc>
          <w:tcPr>
            <w:tcMar>
              <w:top w:type="dxa" w:w="100"/>
              <w:left w:type="dxa" w:w="120"/>
              <w:bottom w:type="dxa" w:w="100"/>
              <w:right w:type="dxa" w:w="120"/>
            </w:tcMar>
          </w:tcPr>
          <w:p>
            <w:r>
              <w:rPr>
                <w:b w:val="false"/>
                <w:bCs w:val="false"/>
                <w:sz w:val="20"/>
                <w:szCs w:val="20"/>
              </w:rPr>
              <w:t xml:space="preserve">Full module communication and event system detail</w:t>
            </w:r>
          </w:p>
        </w:tc>
      </w:tr>
    </w:tbl>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This Bible summarizes and cross-references — it does not replace the source documents. Where a rule needs full detail (a complete table schema, a full screen spec), this document points to the exact volume and chapter. Every future build prompt should cite this Bible's chapter number, which in turn points to the authoritative source.</w:t>
            </w:r>
          </w:p>
        </w:tc>
      </w:tr>
    </w:tbl>
    <w:p>
      <w:pPr>
        <w:pStyle w:val="Heading2"/>
        <w:spacing w:after="180" w:before="360"/>
      </w:pPr>
      <w:r>
        <w:rPr>
          <w:color w:val="0E5AA7"/>
        </w:rPr>
        <w:t xml:space="preserve">0.1 Governing Rule</w:t>
      </w:r>
    </w:p>
    <w:p>
      <w:pPr>
        <w:spacing w:after="160"/>
      </w:pPr>
      <w:r>
        <w:t xml:space="preserve">If anything in a future build prompt conflicts with this Bible, this Bible wins unless formally revised through the governance process in Chapter 14. This Bible itself is frozen at Version 1.0 alongside its four source documents (PRD, Engineering Standards, Design Bible, Architecture Bible) as of the date in Chapter 14.</w:t>
      </w:r>
    </w:p>
    <w:p>
      <w:pPr>
        <w:pStyle w:val="Heading1"/>
        <w:spacing w:after="240" w:before="480"/>
      </w:pPr>
      <w:r>
        <w:rPr>
          <w:color w:val="071B2E"/>
        </w:rPr>
        <w:t xml:space="preserve">Chapter 1 — Vision</w:t>
      </w:r>
    </w:p>
    <w:p>
      <w:pPr>
        <w:spacing w:after="160"/>
      </w:pPr>
      <w:r>
        <w:t xml:space="preserve">Gottlieb Build &amp; Design is the flagship construction platform within the Gottlieb Operating System (GOS) — a Construction Operating System, not a contractor CRM, spanning estimating, design visualization, field execution, portal-based collaboration, financials, and reporting for the full construction lifecycle. Full detail: PRD Volume I.</w:t>
      </w:r>
    </w:p>
    <w:p>
      <w:pPr>
        <w:pStyle w:val="Heading2"/>
        <w:spacing w:after="180" w:before="360"/>
      </w:pPr>
      <w:r>
        <w:rPr>
          <w:color w:val="0E5AA7"/>
        </w:rPr>
        <w:t xml:space="preserve">1.1 Non-Goals (absolute)</w:t>
      </w:r>
    </w:p>
    <w:p>
      <w:pPr>
        <w:pStyle w:val="ListParagraph"/>
        <w:numPr>
          <w:ilvl w:val="0"/>
          <w:numId w:val="2"/>
        </w:numPr>
        <w:spacing w:after="60"/>
      </w:pPr>
      <w:r>
        <w:t xml:space="preserve">No redesign of the GOS Document Generator — integrated via API only.</w:t>
      </w:r>
    </w:p>
    <w:p>
      <w:pPr>
        <w:pStyle w:val="ListParagraph"/>
        <w:numPr>
          <w:ilvl w:val="0"/>
          <w:numId w:val="2"/>
        </w:numPr>
        <w:spacing w:after="60"/>
      </w:pPr>
      <w:r>
        <w:t xml:space="preserve">No Medical Administration functionality (HIPAA, patient data, clinical workflows) — architecturally isolated forever.</w:t>
      </w:r>
    </w:p>
    <w:p>
      <w:pPr>
        <w:pStyle w:val="ListParagraph"/>
        <w:numPr>
          <w:ilvl w:val="0"/>
          <w:numId w:val="2"/>
        </w:numPr>
        <w:spacing w:after="60"/>
      </w:pPr>
      <w:r>
        <w:t xml:space="preserve">No custom 3D rendering engine — the 3D Design Studio consumes pre-built Blender GLB assets only.</w:t>
      </w:r>
    </w:p>
    <w:p>
      <w:pPr>
        <w:pStyle w:val="Heading2"/>
        <w:spacing w:after="180" w:before="360"/>
      </w:pPr>
      <w:r>
        <w:rPr>
          <w:color w:val="0E5AA7"/>
        </w:rPr>
        <w:t xml:space="preserve">1.2 Market Coverage</w:t>
      </w:r>
    </w:p>
    <w:p>
      <w:pPr>
        <w:spacing w:after="160"/>
      </w:pPr>
      <w:r>
        <w:t xml:space="preserve">Luxury Residential, Commercial, Ground-Up Development, Remodeling, Tenant Improvements, Medical Buildings (construction only), Mixed-Use, Hotels, Multi-Family, ADUs, Property Development. (PRD Vol. I, Ch. 3)</w:t>
      </w:r>
    </w:p>
    <w:p>
      <w:pPr>
        <w:pStyle w:val="Heading2"/>
        <w:spacing w:after="180" w:before="360"/>
      </w:pPr>
      <w:r>
        <w:rPr>
          <w:color w:val="0E5AA7"/>
        </w:rPr>
        <w:t xml:space="preserve">1.3 Design Philosophy</w:t>
      </w:r>
    </w:p>
    <w:p>
      <w:pPr>
        <w:spacing w:after="160"/>
      </w:pPr>
      <w:r>
        <w:t xml:space="preserve">Premium, minimal, confident — Apple, Bentley, Porsche, Notion, Linear, Arc, Stripe, Foster + Partners. Never resembling Buildertrend, Procore, Monday, or Jobber. (PRD Vol. II; Design Bible Ch. 1)</w:t>
      </w:r>
    </w:p>
    <w:p>
      <w:pPr>
        <w:pStyle w:val="Heading1"/>
        <w:spacing w:after="240" w:before="480"/>
      </w:pPr>
      <w:r>
        <w:rPr>
          <w:color w:val="071B2E"/>
        </w:rPr>
        <w:t xml:space="preserve">Chapter 2 — Architecture</w:t>
      </w:r>
    </w:p>
    <w:p>
      <w:pPr>
        <w:pStyle w:val="Heading2"/>
        <w:spacing w:after="180" w:before="360"/>
      </w:pPr>
      <w:r>
        <w:rPr>
          <w:color w:val="0E5AA7"/>
        </w:rPr>
        <w:t xml:space="preserve">2.1 The Five Core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shd w:fill="071B2E" w:val="clear"/>
            <w:tcMar>
              <w:top w:type="dxa" w:w="100"/>
              <w:left w:type="dxa" w:w="120"/>
              <w:bottom w:type="dxa" w:w="100"/>
              <w:right w:type="dxa" w:w="120"/>
            </w:tcMar>
          </w:tcPr>
          <w:p>
            <w:r>
              <w:rPr>
                <w:b/>
                <w:bCs/>
                <w:color w:val="FFFFFF"/>
                <w:sz w:val="20"/>
                <w:szCs w:val="20"/>
              </w:rPr>
              <w:t xml:space="preserve">System</w:t>
            </w:r>
          </w:p>
        </w:tc>
        <w:tc>
          <w:tcPr>
            <w:shd w:fill="071B2E" w:val="clear"/>
            <w:tcMar>
              <w:top w:type="dxa" w:w="100"/>
              <w:left w:type="dxa" w:w="120"/>
              <w:bottom w:type="dxa" w:w="100"/>
              <w:right w:type="dxa" w:w="120"/>
            </w:tcMar>
          </w:tcPr>
          <w:p>
            <w:r>
              <w:rPr>
                <w:b/>
                <w:bCs/>
                <w:color w:val="FFFFFF"/>
                <w:sz w:val="20"/>
                <w:szCs w:val="20"/>
              </w:rPr>
              <w:t xml:space="preserve">Owns</w:t>
            </w:r>
          </w:p>
        </w:tc>
      </w:tr>
      <w:tr>
        <w:tc>
          <w:tcPr>
            <w:tcMar>
              <w:top w:type="dxa" w:w="100"/>
              <w:left w:type="dxa" w:w="120"/>
              <w:bottom w:type="dxa" w:w="100"/>
              <w:right w:type="dxa" w:w="120"/>
            </w:tcMar>
          </w:tcPr>
          <w:p>
            <w:r>
              <w:rPr>
                <w:b/>
                <w:bCs/>
                <w:sz w:val="20"/>
                <w:szCs w:val="20"/>
              </w:rPr>
              <w:t xml:space="preserve">GOS Core</w:t>
            </w:r>
          </w:p>
        </w:tc>
        <w:tc>
          <w:tcPr>
            <w:tcMar>
              <w:top w:type="dxa" w:w="100"/>
              <w:left w:type="dxa" w:w="120"/>
              <w:bottom w:type="dxa" w:w="100"/>
              <w:right w:type="dxa" w:w="120"/>
            </w:tcMar>
          </w:tcPr>
          <w:p>
            <w:r>
              <w:rPr>
                <w:b w:val="false"/>
                <w:bCs w:val="false"/>
                <w:sz w:val="20"/>
                <w:szCs w:val="20"/>
              </w:rPr>
              <w:t xml:space="preserve">Auth, Organizations, Users, Roles, Permissions, Notifications, Audit Logs, Language, File Storage, AI Services, API Gateway</w:t>
            </w:r>
          </w:p>
        </w:tc>
      </w:tr>
      <w:tr>
        <w:tc>
          <w:tcPr>
            <w:tcMar>
              <w:top w:type="dxa" w:w="100"/>
              <w:left w:type="dxa" w:w="120"/>
              <w:bottom w:type="dxa" w:w="100"/>
              <w:right w:type="dxa" w:w="120"/>
            </w:tcMar>
          </w:tcPr>
          <w:p>
            <w:r>
              <w:rPr>
                <w:b/>
                <w:bCs/>
                <w:sz w:val="20"/>
                <w:szCs w:val="20"/>
              </w:rPr>
              <w:t xml:space="preserve">Gottlieb Build &amp; Design</w:t>
            </w:r>
          </w:p>
        </w:tc>
        <w:tc>
          <w:tcPr>
            <w:tcMar>
              <w:top w:type="dxa" w:w="100"/>
              <w:left w:type="dxa" w:w="120"/>
              <w:bottom w:type="dxa" w:w="100"/>
              <w:right w:type="dxa" w:w="120"/>
            </w:tcMar>
          </w:tcPr>
          <w:p>
            <w:r>
              <w:rPr>
                <w:b w:val="false"/>
                <w:bCs w:val="false"/>
                <w:sz w:val="20"/>
                <w:szCs w:val="20"/>
              </w:rPr>
              <w:t xml:space="preserve">Projects, Estimating, Blueprint Studio, 3D/Material Studio, Progress/Scheduling, Client/Vendor/Subcontractor portals</w:t>
            </w:r>
          </w:p>
        </w:tc>
      </w:tr>
      <w:tr>
        <w:tc>
          <w:tcPr>
            <w:tcMar>
              <w:top w:type="dxa" w:w="100"/>
              <w:left w:type="dxa" w:w="120"/>
              <w:bottom w:type="dxa" w:w="100"/>
              <w:right w:type="dxa" w:w="120"/>
            </w:tcMar>
          </w:tcPr>
          <w:p>
            <w:r>
              <w:rPr>
                <w:b/>
                <w:bCs/>
                <w:sz w:val="20"/>
                <w:szCs w:val="20"/>
              </w:rPr>
              <w:t xml:space="preserve">GOS Document Generator</w:t>
            </w:r>
          </w:p>
        </w:tc>
        <w:tc>
          <w:tcPr>
            <w:tcMar>
              <w:top w:type="dxa" w:w="100"/>
              <w:left w:type="dxa" w:w="120"/>
              <w:bottom w:type="dxa" w:w="100"/>
              <w:right w:type="dxa" w:w="120"/>
            </w:tcMar>
          </w:tcPr>
          <w:p>
            <w:r>
              <w:rPr>
                <w:b w:val="false"/>
                <w:bCs w:val="false"/>
                <w:sz w:val="20"/>
                <w:szCs w:val="20"/>
              </w:rPr>
              <w:t xml:space="preserve">Documents only — no knowledge of projects, blueprints, schedules, or 3D</w:t>
            </w:r>
          </w:p>
        </w:tc>
      </w:tr>
      <w:tr>
        <w:tc>
          <w:tcPr>
            <w:tcMar>
              <w:top w:type="dxa" w:w="100"/>
              <w:left w:type="dxa" w:w="120"/>
              <w:bottom w:type="dxa" w:w="100"/>
              <w:right w:type="dxa" w:w="120"/>
            </w:tcMar>
          </w:tcPr>
          <w:p>
            <w:r>
              <w:rPr>
                <w:b/>
                <w:bCs/>
                <w:sz w:val="20"/>
                <w:szCs w:val="20"/>
              </w:rPr>
              <w:t xml:space="preserve">Future Medical Administration OS</w:t>
            </w:r>
          </w:p>
        </w:tc>
        <w:tc>
          <w:tcPr>
            <w:tcMar>
              <w:top w:type="dxa" w:w="100"/>
              <w:left w:type="dxa" w:w="120"/>
              <w:bottom w:type="dxa" w:w="100"/>
              <w:right w:type="dxa" w:w="120"/>
            </w:tcMar>
          </w:tcPr>
          <w:p>
            <w:r>
              <w:rPr>
                <w:b w:val="false"/>
                <w:bCs w:val="false"/>
                <w:sz w:val="20"/>
                <w:szCs w:val="20"/>
              </w:rPr>
              <w:t xml:space="preserve">Separate forever — different permissions, workflows, compliance</w:t>
            </w:r>
          </w:p>
        </w:tc>
      </w:tr>
      <w:tr>
        <w:tc>
          <w:tcPr>
            <w:tcMar>
              <w:top w:type="dxa" w:w="100"/>
              <w:left w:type="dxa" w:w="120"/>
              <w:bottom w:type="dxa" w:w="100"/>
              <w:right w:type="dxa" w:w="120"/>
            </w:tcMar>
          </w:tcPr>
          <w:p>
            <w:r>
              <w:rPr>
                <w:b/>
                <w:bCs/>
                <w:sz w:val="20"/>
                <w:szCs w:val="20"/>
              </w:rPr>
              <w:t xml:space="preserve">AI Services</w:t>
            </w:r>
          </w:p>
        </w:tc>
        <w:tc>
          <w:tcPr>
            <w:tcMar>
              <w:top w:type="dxa" w:w="100"/>
              <w:left w:type="dxa" w:w="120"/>
              <w:bottom w:type="dxa" w:w="100"/>
              <w:right w:type="dxa" w:w="120"/>
            </w:tcMar>
          </w:tcPr>
          <w:p>
            <w:r>
              <w:rPr>
                <w:b w:val="false"/>
                <w:bCs w:val="false"/>
                <w:sz w:val="20"/>
                <w:szCs w:val="20"/>
              </w:rPr>
              <w:t xml:space="preserve">Shared AI Gateway — AI Estimator, Blueprint Reader, Translator, Scheduler, Assistant, Search</w:t>
            </w:r>
          </w:p>
        </w:tc>
      </w:tr>
    </w:tbl>
    <w:p>
      <w:pPr>
        <w:spacing w:after="160"/>
      </w:pPr>
      <w:r>
        <w:t xml:space="preserve">Full detail: Architecture Bible Ch. 2.</w:t>
      </w:r>
    </w:p>
    <w:p>
      <w:pPr>
        <w:pStyle w:val="Heading2"/>
        <w:spacing w:after="180" w:before="360"/>
      </w:pPr>
      <w:r>
        <w:rPr>
          <w:color w:val="0E5AA7"/>
        </w:rPr>
        <w:t xml:space="preserve">2.2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shd w:fill="071B2E" w:val="clear"/>
            <w:tcMar>
              <w:top w:type="dxa" w:w="100"/>
              <w:left w:type="dxa" w:w="120"/>
              <w:bottom w:type="dxa" w:w="100"/>
              <w:right w:type="dxa" w:w="120"/>
            </w:tcMar>
          </w:tcPr>
          <w:p>
            <w:r>
              <w:rPr>
                <w:b/>
                <w:bCs/>
                <w:color w:val="FFFFFF"/>
                <w:sz w:val="20"/>
                <w:szCs w:val="20"/>
              </w:rPr>
              <w:t xml:space="preserve">Layer</w:t>
            </w:r>
          </w:p>
        </w:tc>
        <w:tc>
          <w:tcPr>
            <w:shd w:fill="071B2E" w:val="clear"/>
            <w:tcMar>
              <w:top w:type="dxa" w:w="100"/>
              <w:left w:type="dxa" w:w="120"/>
              <w:bottom w:type="dxa" w:w="100"/>
              <w:right w:type="dxa" w:w="120"/>
            </w:tcMar>
          </w:tcPr>
          <w:p>
            <w:r>
              <w:rPr>
                <w:b/>
                <w:bCs/>
                <w:color w:val="FFFFFF"/>
                <w:sz w:val="20"/>
                <w:szCs w:val="20"/>
              </w:rPr>
              <w:t xml:space="preserve">Technology</w:t>
            </w:r>
          </w:p>
        </w:tc>
      </w:tr>
      <w:tr>
        <w:tc>
          <w:tcPr>
            <w:tcMar>
              <w:top w:type="dxa" w:w="100"/>
              <w:left w:type="dxa" w:w="120"/>
              <w:bottom w:type="dxa" w:w="100"/>
              <w:right w:type="dxa" w:w="120"/>
            </w:tcMar>
          </w:tcPr>
          <w:p>
            <w:r>
              <w:rPr>
                <w:b/>
                <w:bCs/>
                <w:sz w:val="20"/>
                <w:szCs w:val="20"/>
              </w:rPr>
              <w:t xml:space="preserve">Frontend</w:t>
            </w:r>
          </w:p>
        </w:tc>
        <w:tc>
          <w:tcPr>
            <w:tcMar>
              <w:top w:type="dxa" w:w="100"/>
              <w:left w:type="dxa" w:w="120"/>
              <w:bottom w:type="dxa" w:w="100"/>
              <w:right w:type="dxa" w:w="120"/>
            </w:tcMar>
          </w:tcPr>
          <w:p>
            <w:r>
              <w:rPr>
                <w:b w:val="false"/>
                <w:bCs w:val="false"/>
                <w:sz w:val="20"/>
                <w:szCs w:val="20"/>
              </w:rPr>
              <w:t xml:space="preserve">Next.js (App Router), React, TypeScript, TailwindCSS</w:t>
            </w:r>
          </w:p>
        </w:tc>
      </w:tr>
      <w:tr>
        <w:tc>
          <w:tcPr>
            <w:tcMar>
              <w:top w:type="dxa" w:w="100"/>
              <w:left w:type="dxa" w:w="120"/>
              <w:bottom w:type="dxa" w:w="100"/>
              <w:right w:type="dxa" w:w="120"/>
            </w:tcMar>
          </w:tcPr>
          <w:p>
            <w:r>
              <w:rPr>
                <w:b/>
                <w:bCs/>
                <w:sz w:val="20"/>
                <w:szCs w:val="20"/>
              </w:rPr>
              <w:t xml:space="preserve">3D</w:t>
            </w:r>
          </w:p>
        </w:tc>
        <w:tc>
          <w:tcPr>
            <w:tcMar>
              <w:top w:type="dxa" w:w="100"/>
              <w:left w:type="dxa" w:w="120"/>
              <w:bottom w:type="dxa" w:w="100"/>
              <w:right w:type="dxa" w:w="120"/>
            </w:tcMar>
          </w:tcPr>
          <w:p>
            <w:r>
              <w:rPr>
                <w:b w:val="false"/>
                <w:bCs w:val="false"/>
                <w:sz w:val="20"/>
                <w:szCs w:val="20"/>
              </w:rPr>
              <w:t xml:space="preserve">React Three Fiber, Three.js, Drei</w:t>
            </w:r>
          </w:p>
        </w:tc>
      </w:tr>
      <w:tr>
        <w:tc>
          <w:tcPr>
            <w:tcMar>
              <w:top w:type="dxa" w:w="100"/>
              <w:left w:type="dxa" w:w="120"/>
              <w:bottom w:type="dxa" w:w="100"/>
              <w:right w:type="dxa" w:w="120"/>
            </w:tcMar>
          </w:tcPr>
          <w:p>
            <w:r>
              <w:rPr>
                <w:b/>
                <w:bCs/>
                <w:sz w:val="20"/>
                <w:szCs w:val="20"/>
              </w:rPr>
              <w:t xml:space="preserve">Backend/Data</w:t>
            </w:r>
          </w:p>
        </w:tc>
        <w:tc>
          <w:tcPr>
            <w:tcMar>
              <w:top w:type="dxa" w:w="100"/>
              <w:left w:type="dxa" w:w="120"/>
              <w:bottom w:type="dxa" w:w="100"/>
              <w:right w:type="dxa" w:w="120"/>
            </w:tcMar>
          </w:tcPr>
          <w:p>
            <w:r>
              <w:rPr>
                <w:b w:val="false"/>
                <w:bCs w:val="false"/>
                <w:sz w:val="20"/>
                <w:szCs w:val="20"/>
              </w:rPr>
              <w:t xml:space="preserve">Supabase (Postgres, Auth, Storage, Realtime)</w:t>
            </w:r>
          </w:p>
        </w:tc>
      </w:tr>
      <w:tr>
        <w:tc>
          <w:tcPr>
            <w:tcMar>
              <w:top w:type="dxa" w:w="100"/>
              <w:left w:type="dxa" w:w="120"/>
              <w:bottom w:type="dxa" w:w="100"/>
              <w:right w:type="dxa" w:w="120"/>
            </w:tcMar>
          </w:tcPr>
          <w:p>
            <w:r>
              <w:rPr>
                <w:b/>
                <w:bCs/>
                <w:sz w:val="20"/>
                <w:szCs w:val="20"/>
              </w:rPr>
              <w:t xml:space="preserve">Platform</w:t>
            </w:r>
          </w:p>
        </w:tc>
        <w:tc>
          <w:tcPr>
            <w:tcMar>
              <w:top w:type="dxa" w:w="100"/>
              <w:left w:type="dxa" w:w="120"/>
              <w:bottom w:type="dxa" w:w="100"/>
              <w:right w:type="dxa" w:w="120"/>
            </w:tcMar>
          </w:tcPr>
          <w:p>
            <w:r>
              <w:rPr>
                <w:b w:val="false"/>
                <w:bCs w:val="false"/>
                <w:sz w:val="20"/>
                <w:szCs w:val="20"/>
              </w:rPr>
              <w:t xml:space="preserve">GitHub, GitHub Actions, Vercel</w:t>
            </w:r>
          </w:p>
        </w:tc>
      </w:tr>
      <w:tr>
        <w:tc>
          <w:tcPr>
            <w:tcMar>
              <w:top w:type="dxa" w:w="100"/>
              <w:left w:type="dxa" w:w="120"/>
              <w:bottom w:type="dxa" w:w="100"/>
              <w:right w:type="dxa" w:w="120"/>
            </w:tcMar>
          </w:tcPr>
          <w:p>
            <w:r>
              <w:rPr>
                <w:b/>
                <w:bCs/>
                <w:sz w:val="20"/>
                <w:szCs w:val="20"/>
              </w:rPr>
              <w:t xml:space="preserve">Future Scale</w:t>
            </w:r>
          </w:p>
        </w:tc>
        <w:tc>
          <w:tcPr>
            <w:tcMar>
              <w:top w:type="dxa" w:w="100"/>
              <w:left w:type="dxa" w:w="120"/>
              <w:bottom w:type="dxa" w:w="100"/>
              <w:right w:type="dxa" w:w="120"/>
            </w:tcMar>
          </w:tcPr>
          <w:p>
            <w:r>
              <w:rPr>
                <w:b w:val="false"/>
                <w:bCs w:val="false"/>
                <w:sz w:val="20"/>
                <w:szCs w:val="20"/>
              </w:rPr>
              <w:t xml:space="preserve">AWS (S3, Lambda, CloudFront, SQS) — Phase 4 only</w:t>
            </w:r>
          </w:p>
        </w:tc>
      </w:tr>
    </w:tbl>
    <w:p>
      <w:pPr>
        <w:spacing w:after="160"/>
      </w:pPr>
      <w:r>
        <w:t xml:space="preserve">Full detail: PRD Vol. III.</w:t>
      </w:r>
    </w:p>
    <w:p>
      <w:pPr>
        <w:pStyle w:val="Heading2"/>
        <w:spacing w:after="180" w:before="360"/>
      </w:pPr>
      <w:r>
        <w:rPr>
          <w:color w:val="0E5AA7"/>
        </w:rPr>
        <w:t xml:space="preserve">2.3 Module Communication</w:t>
      </w:r>
    </w:p>
    <w:p>
      <w:pPr>
        <w:spacing w:after="160"/>
      </w:pPr>
      <w:r>
        <w:t xml:space="preserve">Two modes only: synchronous request/response for immediate-answer needs, and asynchronous events (a single Postgres events table + Supabase Realtime) for cross-module notification. Events describe what already happened (past tense), never commands. Full detail: Architecture Bible Ch. 3.</w:t>
      </w:r>
    </w:p>
    <w:p>
      <w:pPr>
        <w:pStyle w:val="Heading2"/>
        <w:spacing w:after="180" w:before="360"/>
      </w:pPr>
      <w:r>
        <w:rPr>
          <w:color w:val="0E5AA7"/>
        </w:rPr>
        <w:t xml:space="preserve">2.4 Permission Inheritance Chain</w:t>
      </w:r>
    </w:p>
    <w:p>
      <w:pPr>
        <w:spacing w:after="160"/>
      </w:pPr>
      <w:r>
        <w:t xml:space="preserve">Organization membership → Global role → Project membership → Project-level override → Organization-scoped row ownership. Effective permission is always the narrowest result. Full detail: Architecture Bible Ch. 8; PRD Vol. V.</w:t>
      </w:r>
    </w:p>
    <w:p>
      <w:pPr>
        <w:pStyle w:val="Heading2"/>
        <w:spacing w:after="180" w:before="360"/>
      </w:pPr>
      <w:r>
        <w:rPr>
          <w:color w:val="0E5AA7"/>
        </w:rPr>
        <w:t xml:space="preserve">2.5 Document Generator Contract</w:t>
      </w:r>
    </w:p>
    <w:p>
      <w:pPr>
        <w:spacing w:after="160"/>
      </w:pPr>
      <w:r>
        <w:t xml:space="preserve">Build &amp; Design sends a complete structured payload (document type + data + idempotency key + webhook URL); the Document Generator returns status + reference + signature URL via webhook. The Document Generator never receives a bare project ID to 'figure out.' Full detail: Architecture Bible Ch. 6; PRD Vol. IX, Ch. 4.</w:t>
      </w:r>
    </w:p>
    <w:p>
      <w:pPr>
        <w:pStyle w:val="Heading1"/>
        <w:spacing w:after="240" w:before="480"/>
      </w:pPr>
      <w:r>
        <w:rPr>
          <w:color w:val="071B2E"/>
        </w:rPr>
        <w:t xml:space="preserve">Chapter 3 — Engineering Standards</w:t>
      </w:r>
    </w:p>
    <w:p>
      <w:pPr>
        <w:pStyle w:val="Heading2"/>
        <w:spacing w:after="180" w:before="360"/>
      </w:pPr>
      <w:r>
        <w:rPr>
          <w:color w:val="0E5AA7"/>
        </w:rPr>
        <w:t xml:space="preserve">3.1 Repository Layout</w:t>
      </w:r>
    </w:p>
    <w:p>
      <w:pPr>
        <w:spacing w:after="160"/>
      </w:pPr>
      <w:r>
        <w:t xml:space="preserve">/docs, /app (route groups per portal), /packages (ui, hooks, services, types, utils, config, three, ai), /supabase, /scripts, /.github. Dependencies flow one way: /app depends on /packages, never the reverse.</w:t>
      </w:r>
    </w:p>
    <w:p>
      <w:pPr>
        <w:pStyle w:val="Heading2"/>
        <w:spacing w:after="180" w:before="360"/>
      </w:pPr>
      <w:r>
        <w:rPr>
          <w:color w:val="0E5AA7"/>
        </w:rPr>
        <w:t xml:space="preserve">3.2 Naming Conventions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shd w:fill="071B2E" w:val="clear"/>
            <w:tcMar>
              <w:top w:type="dxa" w:w="100"/>
              <w:left w:type="dxa" w:w="120"/>
              <w:bottom w:type="dxa" w:w="100"/>
              <w:right w:type="dxa" w:w="120"/>
            </w:tcMar>
          </w:tcPr>
          <w:p>
            <w:r>
              <w:rPr>
                <w:b/>
                <w:bCs/>
                <w:color w:val="FFFFFF"/>
                <w:sz w:val="20"/>
                <w:szCs w:val="20"/>
              </w:rPr>
              <w:t xml:space="preserve">Item</w:t>
            </w:r>
          </w:p>
        </w:tc>
        <w:tc>
          <w:tcPr>
            <w:shd w:fill="071B2E" w:val="clear"/>
            <w:tcMar>
              <w:top w:type="dxa" w:w="100"/>
              <w:left w:type="dxa" w:w="120"/>
              <w:bottom w:type="dxa" w:w="100"/>
              <w:right w:type="dxa" w:w="120"/>
            </w:tcMar>
          </w:tcPr>
          <w:p>
            <w:r>
              <w:rPr>
                <w:b/>
                <w:bCs/>
                <w:color w:val="FFFFFF"/>
                <w:sz w:val="20"/>
                <w:szCs w:val="20"/>
              </w:rPr>
              <w:t xml:space="preserve">Convention</w:t>
            </w:r>
          </w:p>
        </w:tc>
        <w:tc>
          <w:tcPr>
            <w:shd w:fill="071B2E" w:val="clear"/>
            <w:tcMar>
              <w:top w:type="dxa" w:w="100"/>
              <w:left w:type="dxa" w:w="120"/>
              <w:bottom w:type="dxa" w:w="100"/>
              <w:right w:type="dxa" w:w="120"/>
            </w:tcMar>
          </w:tcPr>
          <w:p>
            <w:r>
              <w:rPr>
                <w:b/>
                <w:bCs/>
                <w:color w:val="FFFFFF"/>
                <w:sz w:val="20"/>
                <w:szCs w:val="20"/>
              </w:rPr>
              <w:t xml:space="preserve">Example</w:t>
            </w:r>
          </w:p>
        </w:tc>
      </w:tr>
      <w:tr>
        <w:tc>
          <w:tcPr>
            <w:tcMar>
              <w:top w:type="dxa" w:w="100"/>
              <w:left w:type="dxa" w:w="120"/>
              <w:bottom w:type="dxa" w:w="100"/>
              <w:right w:type="dxa" w:w="120"/>
            </w:tcMar>
          </w:tcPr>
          <w:p>
            <w:r>
              <w:rPr>
                <w:b/>
                <w:bCs/>
                <w:sz w:val="20"/>
                <w:szCs w:val="20"/>
              </w:rPr>
              <w:t xml:space="preserve">Components</w:t>
            </w:r>
          </w:p>
        </w:tc>
        <w:tc>
          <w:tcPr>
            <w:tcMar>
              <w:top w:type="dxa" w:w="100"/>
              <w:left w:type="dxa" w:w="120"/>
              <w:bottom w:type="dxa" w:w="100"/>
              <w:right w:type="dxa" w:w="120"/>
            </w:tcMar>
          </w:tcPr>
          <w:p>
            <w:r>
              <w:rPr>
                <w:b w:val="false"/>
                <w:bCs w:val="false"/>
                <w:sz w:val="20"/>
                <w:szCs w:val="20"/>
              </w:rPr>
              <w:t xml:space="preserve">PascalCase</w:t>
            </w:r>
          </w:p>
        </w:tc>
        <w:tc>
          <w:tcPr>
            <w:tcMar>
              <w:top w:type="dxa" w:w="100"/>
              <w:left w:type="dxa" w:w="120"/>
              <w:bottom w:type="dxa" w:w="100"/>
              <w:right w:type="dxa" w:w="120"/>
            </w:tcMar>
          </w:tcPr>
          <w:p>
            <w:r>
              <w:rPr>
                <w:b w:val="false"/>
                <w:bCs w:val="false"/>
                <w:sz w:val="20"/>
                <w:szCs w:val="20"/>
              </w:rPr>
              <w:t xml:space="preserve">MaterialSelector.tsx</w:t>
            </w:r>
          </w:p>
        </w:tc>
      </w:tr>
      <w:tr>
        <w:tc>
          <w:tcPr>
            <w:tcMar>
              <w:top w:type="dxa" w:w="100"/>
              <w:left w:type="dxa" w:w="120"/>
              <w:bottom w:type="dxa" w:w="100"/>
              <w:right w:type="dxa" w:w="120"/>
            </w:tcMar>
          </w:tcPr>
          <w:p>
            <w:r>
              <w:rPr>
                <w:b/>
                <w:bCs/>
                <w:sz w:val="20"/>
                <w:szCs w:val="20"/>
              </w:rPr>
              <w:t xml:space="preserve">Hooks</w:t>
            </w:r>
          </w:p>
        </w:tc>
        <w:tc>
          <w:tcPr>
            <w:tcMar>
              <w:top w:type="dxa" w:w="100"/>
              <w:left w:type="dxa" w:w="120"/>
              <w:bottom w:type="dxa" w:w="100"/>
              <w:right w:type="dxa" w:w="120"/>
            </w:tcMar>
          </w:tcPr>
          <w:p>
            <w:r>
              <w:rPr>
                <w:b w:val="false"/>
                <w:bCs w:val="false"/>
                <w:sz w:val="20"/>
                <w:szCs w:val="20"/>
              </w:rPr>
              <w:t xml:space="preserve">camelCase, use-prefixed</w:t>
            </w:r>
          </w:p>
        </w:tc>
        <w:tc>
          <w:tcPr>
            <w:tcMar>
              <w:top w:type="dxa" w:w="100"/>
              <w:left w:type="dxa" w:w="120"/>
              <w:bottom w:type="dxa" w:w="100"/>
              <w:right w:type="dxa" w:w="120"/>
            </w:tcMar>
          </w:tcPr>
          <w:p>
            <w:r>
              <w:rPr>
                <w:b w:val="false"/>
                <w:bCs w:val="false"/>
                <w:sz w:val="20"/>
                <w:szCs w:val="20"/>
              </w:rPr>
              <w:t xml:space="preserve">useProjectPhases.ts</w:t>
            </w:r>
          </w:p>
        </w:tc>
      </w:tr>
      <w:tr>
        <w:tc>
          <w:tcPr>
            <w:tcMar>
              <w:top w:type="dxa" w:w="100"/>
              <w:left w:type="dxa" w:w="120"/>
              <w:bottom w:type="dxa" w:w="100"/>
              <w:right w:type="dxa" w:w="120"/>
            </w:tcMar>
          </w:tcPr>
          <w:p>
            <w:r>
              <w:rPr>
                <w:b/>
                <w:bCs/>
                <w:sz w:val="20"/>
                <w:szCs w:val="20"/>
              </w:rPr>
              <w:t xml:space="preserve">Server actions</w:t>
            </w:r>
          </w:p>
        </w:tc>
        <w:tc>
          <w:tcPr>
            <w:tcMar>
              <w:top w:type="dxa" w:w="100"/>
              <w:left w:type="dxa" w:w="120"/>
              <w:bottom w:type="dxa" w:w="100"/>
              <w:right w:type="dxa" w:w="120"/>
            </w:tcMar>
          </w:tcPr>
          <w:p>
            <w:r>
              <w:rPr>
                <w:b w:val="false"/>
                <w:bCs w:val="false"/>
                <w:sz w:val="20"/>
                <w:szCs w:val="20"/>
              </w:rPr>
              <w:t xml:space="preserve">camelCase, verb-first</w:t>
            </w:r>
          </w:p>
        </w:tc>
        <w:tc>
          <w:tcPr>
            <w:tcMar>
              <w:top w:type="dxa" w:w="100"/>
              <w:left w:type="dxa" w:w="120"/>
              <w:bottom w:type="dxa" w:w="100"/>
              <w:right w:type="dxa" w:w="120"/>
            </w:tcMar>
          </w:tcPr>
          <w:p>
            <w:r>
              <w:rPr>
                <w:b w:val="false"/>
                <w:bCs w:val="false"/>
                <w:sz w:val="20"/>
                <w:szCs w:val="20"/>
              </w:rPr>
              <w:t xml:space="preserve">createEstimate.ts</w:t>
            </w:r>
          </w:p>
        </w:tc>
      </w:tr>
      <w:tr>
        <w:tc>
          <w:tcPr>
            <w:tcMar>
              <w:top w:type="dxa" w:w="100"/>
              <w:left w:type="dxa" w:w="120"/>
              <w:bottom w:type="dxa" w:w="100"/>
              <w:right w:type="dxa" w:w="120"/>
            </w:tcMar>
          </w:tcPr>
          <w:p>
            <w:r>
              <w:rPr>
                <w:b/>
                <w:bCs/>
                <w:sz w:val="20"/>
                <w:szCs w:val="20"/>
              </w:rPr>
              <w:t xml:space="preserve">DB tables/columns</w:t>
            </w:r>
          </w:p>
        </w:tc>
        <w:tc>
          <w:tcPr>
            <w:tcMar>
              <w:top w:type="dxa" w:w="100"/>
              <w:left w:type="dxa" w:w="120"/>
              <w:bottom w:type="dxa" w:w="100"/>
              <w:right w:type="dxa" w:w="120"/>
            </w:tcMar>
          </w:tcPr>
          <w:p>
            <w:r>
              <w:rPr>
                <w:b w:val="false"/>
                <w:bCs w:val="false"/>
                <w:sz w:val="20"/>
                <w:szCs w:val="20"/>
              </w:rPr>
              <w:t xml:space="preserve">snake_case, plural tables</w:t>
            </w:r>
          </w:p>
        </w:tc>
        <w:tc>
          <w:tcPr>
            <w:tcMar>
              <w:top w:type="dxa" w:w="100"/>
              <w:left w:type="dxa" w:w="120"/>
              <w:bottom w:type="dxa" w:w="100"/>
              <w:right w:type="dxa" w:w="120"/>
            </w:tcMar>
          </w:tcPr>
          <w:p>
            <w:r>
              <w:rPr>
                <w:b w:val="false"/>
                <w:bCs w:val="false"/>
                <w:sz w:val="20"/>
                <w:szCs w:val="20"/>
              </w:rPr>
              <w:t xml:space="preserve">estimate_line_items</w:t>
            </w:r>
          </w:p>
        </w:tc>
      </w:tr>
      <w:tr>
        <w:tc>
          <w:tcPr>
            <w:tcMar>
              <w:top w:type="dxa" w:w="100"/>
              <w:left w:type="dxa" w:w="120"/>
              <w:bottom w:type="dxa" w:w="100"/>
              <w:right w:type="dxa" w:w="120"/>
            </w:tcMar>
          </w:tcPr>
          <w:p>
            <w:r>
              <w:rPr>
                <w:b/>
                <w:bCs/>
                <w:sz w:val="20"/>
                <w:szCs w:val="20"/>
              </w:rPr>
              <w:t xml:space="preserve">Routes</w:t>
            </w:r>
          </w:p>
        </w:tc>
        <w:tc>
          <w:tcPr>
            <w:tcMar>
              <w:top w:type="dxa" w:w="100"/>
              <w:left w:type="dxa" w:w="120"/>
              <w:bottom w:type="dxa" w:w="100"/>
              <w:right w:type="dxa" w:w="120"/>
            </w:tcMar>
          </w:tcPr>
          <w:p>
            <w:r>
              <w:rPr>
                <w:b w:val="false"/>
                <w:bCs w:val="false"/>
                <w:sz w:val="20"/>
                <w:szCs w:val="20"/>
              </w:rPr>
              <w:t xml:space="preserve">kebab-case</w:t>
            </w:r>
          </w:p>
        </w:tc>
        <w:tc>
          <w:tcPr>
            <w:tcMar>
              <w:top w:type="dxa" w:w="100"/>
              <w:left w:type="dxa" w:w="120"/>
              <w:bottom w:type="dxa" w:w="100"/>
              <w:right w:type="dxa" w:w="120"/>
            </w:tcMar>
          </w:tcPr>
          <w:p>
            <w:r>
              <w:rPr>
                <w:b w:val="false"/>
                <w:bCs w:val="false"/>
                <w:sz w:val="20"/>
                <w:szCs w:val="20"/>
              </w:rPr>
              <w:t xml:space="preserve">/projects/[id]/change-orders</w:t>
            </w:r>
          </w:p>
        </w:tc>
      </w:tr>
    </w:tbl>
    <w:p>
      <w:pPr>
        <w:pStyle w:val="Heading2"/>
        <w:spacing w:after="180" w:before="360"/>
      </w:pPr>
      <w:r>
        <w:rPr>
          <w:color w:val="0E5AA7"/>
        </w:rPr>
        <w:t xml:space="preserve">3.3 Component Defaults</w:t>
      </w:r>
    </w:p>
    <w:p>
      <w:pPr>
        <w:spacing w:after="160"/>
      </w:pPr>
      <w:r>
        <w:t xml:space="preserve">Server Components by default; Client Components only for interactivity, browser APIs, or state/effects. Server state via typed hooks over Supabase — never duplicated into client-side global stores. Full detail: Engineering Standards Ch. 4.</w:t>
      </w:r>
    </w:p>
    <w:p>
      <w:pPr>
        <w:pStyle w:val="Heading2"/>
        <w:spacing w:after="180" w:before="360"/>
      </w:pPr>
      <w:r>
        <w:rPr>
          <w:color w:val="0E5AA7"/>
        </w:rPr>
        <w:t xml:space="preserve">3.4 Database Conventions</w:t>
      </w:r>
    </w:p>
    <w:p>
      <w:pPr>
        <w:pStyle w:val="ListParagraph"/>
        <w:numPr>
          <w:ilvl w:val="0"/>
          <w:numId w:val="2"/>
        </w:numPr>
        <w:spacing w:after="60"/>
      </w:pPr>
      <w:r>
        <w:t xml:space="preserve">UUID primary keys (gen_random_uuid()) — never serial/integer.</w:t>
      </w:r>
    </w:p>
    <w:p>
      <w:pPr>
        <w:pStyle w:val="ListParagraph"/>
        <w:numPr>
          <w:ilvl w:val="0"/>
          <w:numId w:val="2"/>
        </w:numPr>
        <w:spacing w:after="60"/>
      </w:pPr>
      <w:r>
        <w:t xml:space="preserve">created_at, updated_at, created_by, updated_by on every table.</w:t>
      </w:r>
    </w:p>
    <w:p>
      <w:pPr>
        <w:pStyle w:val="ListParagraph"/>
        <w:numPr>
          <w:ilvl w:val="0"/>
          <w:numId w:val="2"/>
        </w:numPr>
        <w:spacing w:after="60"/>
      </w:pPr>
      <w:r>
        <w:t xml:space="preserve">Status fields are Postgres enums, never free-text.</w:t>
      </w:r>
    </w:p>
    <w:p>
      <w:pPr>
        <w:pStyle w:val="ListParagraph"/>
        <w:numPr>
          <w:ilvl w:val="0"/>
          <w:numId w:val="2"/>
        </w:numPr>
        <w:spacing w:after="60"/>
      </w:pPr>
      <w:r>
        <w:t xml:space="preserve">Soft deletes (deleted_at) on financial/legal/audit tables; approved records are immutable — revisions insert new version rows.</w:t>
      </w:r>
    </w:p>
    <w:p>
      <w:pPr>
        <w:pStyle w:val="ListParagraph"/>
        <w:numPr>
          <w:ilvl w:val="0"/>
          <w:numId w:val="2"/>
        </w:numPr>
        <w:spacing w:after="60"/>
      </w:pPr>
      <w:r>
        <w:t xml:space="preserve">Every table ships its RLS policy in the same migration that creates it.</w:t>
      </w:r>
    </w:p>
    <w:p>
      <w:pPr>
        <w:pStyle w:val="Heading2"/>
        <w:spacing w:after="180" w:before="360"/>
      </w:pPr>
      <w:r>
        <w:rPr>
          <w:color w:val="0E5AA7"/>
        </w:rPr>
        <w:t xml:space="preserve">3.5 RLS Patterns (closed set of three)</w:t>
      </w:r>
    </w:p>
    <w:p>
      <w:pPr>
        <w:pStyle w:val="ListParagraph"/>
        <w:numPr>
          <w:ilvl w:val="0"/>
          <w:numId w:val="2"/>
        </w:numPr>
        <w:spacing w:after="60"/>
      </w:pPr>
      <w:r>
        <w:t xml:space="preserve">Project-Membership — visibility via user_project_roles.</w:t>
      </w:r>
    </w:p>
    <w:p>
      <w:pPr>
        <w:pStyle w:val="ListParagraph"/>
        <w:numPr>
          <w:ilvl w:val="0"/>
          <w:numId w:val="2"/>
        </w:numPr>
        <w:spacing w:after="60"/>
      </w:pPr>
      <w:r>
        <w:t xml:space="preserve">Ownership — writable by creating org/user, readable by them plus PM/Admin.</w:t>
      </w:r>
    </w:p>
    <w:p>
      <w:pPr>
        <w:pStyle w:val="ListParagraph"/>
        <w:numPr>
          <w:ilvl w:val="0"/>
          <w:numId w:val="2"/>
        </w:numPr>
        <w:spacing w:after="60"/>
      </w:pPr>
      <w:r>
        <w:t xml:space="preserve">Global-Only — writable by Admin/Super Admin, readable broadly.</w:t>
      </w:r>
    </w:p>
    <w:p>
      <w:pPr>
        <w:spacing w:after="160"/>
      </w:pPr>
      <w:r>
        <w:t xml:space="preserve">A new pattern requires explicit sign-off, never ad hoc introduction. Full detail: Engineering Standards Ch. 5–6.</w:t>
      </w:r>
    </w:p>
    <w:p>
      <w:pPr>
        <w:pStyle w:val="Heading1"/>
        <w:spacing w:after="240" w:before="480"/>
      </w:pPr>
      <w:r>
        <w:rPr>
          <w:color w:val="071B2E"/>
        </w:rPr>
        <w:t xml:space="preserve">Chapter 4 — UI/UX Standards</w:t>
      </w:r>
    </w:p>
    <w:p>
      <w:pPr>
        <w:pStyle w:val="Heading2"/>
        <w:spacing w:after="180" w:before="360"/>
      </w:pPr>
      <w:r>
        <w:rPr>
          <w:color w:val="0E5AA7"/>
        </w:rPr>
        <w:t xml:space="preserve">4.1 Color Tokens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00"/>
      </w:tblGrid>
      <w:tr>
        <w:trPr>
          <w:tblHeader/>
        </w:trPr>
        <w:tc>
          <w:tcPr>
            <w:shd w:fill="071B2E" w:val="clear"/>
            <w:tcMar>
              <w:top w:type="dxa" w:w="100"/>
              <w:left w:type="dxa" w:w="120"/>
              <w:bottom w:type="dxa" w:w="100"/>
              <w:right w:type="dxa" w:w="120"/>
            </w:tcMar>
          </w:tcPr>
          <w:p>
            <w:r>
              <w:rPr>
                <w:b/>
                <w:bCs/>
                <w:color w:val="FFFFFF"/>
                <w:sz w:val="20"/>
                <w:szCs w:val="20"/>
              </w:rPr>
              <w:t xml:space="preserve">Token</w:t>
            </w:r>
          </w:p>
        </w:tc>
        <w:tc>
          <w:tcPr>
            <w:shd w:fill="071B2E" w:val="clear"/>
            <w:tcMar>
              <w:top w:type="dxa" w:w="100"/>
              <w:left w:type="dxa" w:w="120"/>
              <w:bottom w:type="dxa" w:w="100"/>
              <w:right w:type="dxa" w:w="120"/>
            </w:tcMar>
          </w:tcPr>
          <w:p>
            <w:r>
              <w:rPr>
                <w:b/>
                <w:bCs/>
                <w:color w:val="FFFFFF"/>
                <w:sz w:val="20"/>
                <w:szCs w:val="20"/>
              </w:rPr>
              <w:t xml:space="preserve">Hex</w:t>
            </w:r>
          </w:p>
        </w:tc>
        <w:tc>
          <w:tcPr>
            <w:shd w:fill="071B2E" w:val="clear"/>
            <w:tcMar>
              <w:top w:type="dxa" w:w="100"/>
              <w:left w:type="dxa" w:w="120"/>
              <w:bottom w:type="dxa" w:w="100"/>
              <w:right w:type="dxa" w:w="120"/>
            </w:tcMar>
          </w:tcPr>
          <w:p>
            <w:r>
              <w:rPr>
                <w:b/>
                <w:bCs/>
                <w:color w:val="FFFFFF"/>
                <w:sz w:val="20"/>
                <w:szCs w:val="20"/>
              </w:rPr>
              <w:t xml:space="preserve">Use</w:t>
            </w:r>
          </w:p>
        </w:tc>
      </w:tr>
      <w:tr>
        <w:tc>
          <w:tcPr>
            <w:tcMar>
              <w:top w:type="dxa" w:w="100"/>
              <w:left w:type="dxa" w:w="120"/>
              <w:bottom w:type="dxa" w:w="100"/>
              <w:right w:type="dxa" w:w="120"/>
            </w:tcMar>
          </w:tcPr>
          <w:p>
            <w:r>
              <w:rPr>
                <w:b/>
                <w:bCs/>
                <w:sz w:val="20"/>
                <w:szCs w:val="20"/>
              </w:rPr>
              <w:t xml:space="preserve">Primary Blue</w:t>
            </w:r>
          </w:p>
        </w:tc>
        <w:tc>
          <w:tcPr>
            <w:tcMar>
              <w:top w:type="dxa" w:w="100"/>
              <w:left w:type="dxa" w:w="120"/>
              <w:bottom w:type="dxa" w:w="100"/>
              <w:right w:type="dxa" w:w="120"/>
            </w:tcMar>
          </w:tcPr>
          <w:p>
            <w:r>
              <w:rPr>
                <w:b w:val="false"/>
                <w:bCs w:val="false"/>
                <w:sz w:val="20"/>
                <w:szCs w:val="20"/>
              </w:rPr>
              <w:t xml:space="preserve">#0E5AA7</w:t>
            </w:r>
          </w:p>
        </w:tc>
        <w:tc>
          <w:tcPr>
            <w:tcMar>
              <w:top w:type="dxa" w:w="100"/>
              <w:left w:type="dxa" w:w="120"/>
              <w:bottom w:type="dxa" w:w="100"/>
              <w:right w:type="dxa" w:w="120"/>
            </w:tcMar>
          </w:tcPr>
          <w:p>
            <w:r>
              <w:rPr>
                <w:b w:val="false"/>
                <w:bCs w:val="false"/>
                <w:sz w:val="20"/>
                <w:szCs w:val="20"/>
              </w:rPr>
              <w:t xml:space="preserve">Interactive elements only</w:t>
            </w:r>
          </w:p>
        </w:tc>
      </w:tr>
      <w:tr>
        <w:tc>
          <w:tcPr>
            <w:tcMar>
              <w:top w:type="dxa" w:w="100"/>
              <w:left w:type="dxa" w:w="120"/>
              <w:bottom w:type="dxa" w:w="100"/>
              <w:right w:type="dxa" w:w="120"/>
            </w:tcMar>
          </w:tcPr>
          <w:p>
            <w:r>
              <w:rPr>
                <w:b/>
                <w:bCs/>
                <w:sz w:val="20"/>
                <w:szCs w:val="20"/>
              </w:rPr>
              <w:t xml:space="preserve">Deep Navy</w:t>
            </w:r>
          </w:p>
        </w:tc>
        <w:tc>
          <w:tcPr>
            <w:tcMar>
              <w:top w:type="dxa" w:w="100"/>
              <w:left w:type="dxa" w:w="120"/>
              <w:bottom w:type="dxa" w:w="100"/>
              <w:right w:type="dxa" w:w="120"/>
            </w:tcMar>
          </w:tcPr>
          <w:p>
            <w:r>
              <w:rPr>
                <w:b w:val="false"/>
                <w:bCs w:val="false"/>
                <w:sz w:val="20"/>
                <w:szCs w:val="20"/>
              </w:rPr>
              <w:t xml:space="preserve">#071B2E</w:t>
            </w:r>
          </w:p>
        </w:tc>
        <w:tc>
          <w:tcPr>
            <w:tcMar>
              <w:top w:type="dxa" w:w="100"/>
              <w:left w:type="dxa" w:w="120"/>
              <w:bottom w:type="dxa" w:w="100"/>
              <w:right w:type="dxa" w:w="120"/>
            </w:tcMar>
          </w:tcPr>
          <w:p>
            <w:r>
              <w:rPr>
                <w:b w:val="false"/>
                <w:bCs w:val="false"/>
                <w:sz w:val="20"/>
                <w:szCs w:val="20"/>
              </w:rPr>
              <w:t xml:space="preserve">Nav chrome, headings</w:t>
            </w:r>
          </w:p>
        </w:tc>
      </w:tr>
      <w:tr>
        <w:tc>
          <w:tcPr>
            <w:tcMar>
              <w:top w:type="dxa" w:w="100"/>
              <w:left w:type="dxa" w:w="120"/>
              <w:bottom w:type="dxa" w:w="100"/>
              <w:right w:type="dxa" w:w="120"/>
            </w:tcMar>
          </w:tcPr>
          <w:p>
            <w:r>
              <w:rPr>
                <w:b/>
                <w:bCs/>
                <w:sz w:val="20"/>
                <w:szCs w:val="20"/>
              </w:rPr>
              <w:t xml:space="preserve">Silver</w:t>
            </w:r>
          </w:p>
        </w:tc>
        <w:tc>
          <w:tcPr>
            <w:tcMar>
              <w:top w:type="dxa" w:w="100"/>
              <w:left w:type="dxa" w:w="120"/>
              <w:bottom w:type="dxa" w:w="100"/>
              <w:right w:type="dxa" w:w="120"/>
            </w:tcMar>
          </w:tcPr>
          <w:p>
            <w:r>
              <w:rPr>
                <w:b w:val="false"/>
                <w:bCs w:val="false"/>
                <w:sz w:val="20"/>
                <w:szCs w:val="20"/>
              </w:rPr>
              <w:t xml:space="preserve">#C9CDD2</w:t>
            </w:r>
          </w:p>
        </w:tc>
        <w:tc>
          <w:tcPr>
            <w:tcMar>
              <w:top w:type="dxa" w:w="100"/>
              <w:left w:type="dxa" w:w="120"/>
              <w:bottom w:type="dxa" w:w="100"/>
              <w:right w:type="dxa" w:w="120"/>
            </w:tcMar>
          </w:tcPr>
          <w:p>
            <w:r>
              <w:rPr>
                <w:b w:val="false"/>
                <w:bCs w:val="false"/>
                <w:sz w:val="20"/>
                <w:szCs w:val="20"/>
              </w:rPr>
              <w:t xml:space="preserve">Borders, disabled, secondary text</w:t>
            </w:r>
          </w:p>
        </w:tc>
      </w:tr>
      <w:tr>
        <w:tc>
          <w:tcPr>
            <w:tcMar>
              <w:top w:type="dxa" w:w="100"/>
              <w:left w:type="dxa" w:w="120"/>
              <w:bottom w:type="dxa" w:w="100"/>
              <w:right w:type="dxa" w:w="120"/>
            </w:tcMar>
          </w:tcPr>
          <w:p>
            <w:r>
              <w:rPr>
                <w:b/>
                <w:bCs/>
                <w:sz w:val="20"/>
                <w:szCs w:val="20"/>
              </w:rPr>
              <w:t xml:space="preserve">Charcoal</w:t>
            </w:r>
          </w:p>
        </w:tc>
        <w:tc>
          <w:tcPr>
            <w:tcMar>
              <w:top w:type="dxa" w:w="100"/>
              <w:left w:type="dxa" w:w="120"/>
              <w:bottom w:type="dxa" w:w="100"/>
              <w:right w:type="dxa" w:w="120"/>
            </w:tcMar>
          </w:tcPr>
          <w:p>
            <w:r>
              <w:rPr>
                <w:b w:val="false"/>
                <w:bCs w:val="false"/>
                <w:sz w:val="20"/>
                <w:szCs w:val="20"/>
              </w:rPr>
              <w:t xml:space="preserve">#2B2F36</w:t>
            </w:r>
          </w:p>
        </w:tc>
        <w:tc>
          <w:tcPr>
            <w:tcMar>
              <w:top w:type="dxa" w:w="100"/>
              <w:left w:type="dxa" w:w="120"/>
              <w:bottom w:type="dxa" w:w="100"/>
              <w:right w:type="dxa" w:w="120"/>
            </w:tcMar>
          </w:tcPr>
          <w:p>
            <w:r>
              <w:rPr>
                <w:b w:val="false"/>
                <w:bCs w:val="false"/>
                <w:sz w:val="20"/>
                <w:szCs w:val="20"/>
              </w:rPr>
              <w:t xml:space="preserve">Body text, icons</w:t>
            </w:r>
          </w:p>
        </w:tc>
      </w:tr>
      <w:tr>
        <w:tc>
          <w:tcPr>
            <w:tcMar>
              <w:top w:type="dxa" w:w="100"/>
              <w:left w:type="dxa" w:w="120"/>
              <w:bottom w:type="dxa" w:w="100"/>
              <w:right w:type="dxa" w:w="120"/>
            </w:tcMar>
          </w:tcPr>
          <w:p>
            <w:r>
              <w:rPr>
                <w:b/>
                <w:bCs/>
                <w:sz w:val="20"/>
                <w:szCs w:val="20"/>
              </w:rPr>
              <w:t xml:space="preserve">White</w:t>
            </w:r>
          </w:p>
        </w:tc>
        <w:tc>
          <w:tcPr>
            <w:tcMar>
              <w:top w:type="dxa" w:w="100"/>
              <w:left w:type="dxa" w:w="120"/>
              <w:bottom w:type="dxa" w:w="100"/>
              <w:right w:type="dxa" w:w="120"/>
            </w:tcMar>
          </w:tcPr>
          <w:p>
            <w:r>
              <w:rPr>
                <w:b w:val="false"/>
                <w:bCs w:val="false"/>
                <w:sz w:val="20"/>
                <w:szCs w:val="20"/>
              </w:rPr>
              <w:t xml:space="preserve">#FFFFFF</w:t>
            </w:r>
          </w:p>
        </w:tc>
        <w:tc>
          <w:tcPr>
            <w:tcMar>
              <w:top w:type="dxa" w:w="100"/>
              <w:left w:type="dxa" w:w="120"/>
              <w:bottom w:type="dxa" w:w="100"/>
              <w:right w:type="dxa" w:w="120"/>
            </w:tcMar>
          </w:tcPr>
          <w:p>
            <w:r>
              <w:rPr>
                <w:b w:val="false"/>
                <w:bCs w:val="false"/>
                <w:sz w:val="20"/>
                <w:szCs w:val="20"/>
              </w:rPr>
              <w:t xml:space="preserve">Dominant surface color</w:t>
            </w:r>
          </w:p>
        </w:tc>
      </w:tr>
    </w:tbl>
    <w:p>
      <w:pPr>
        <w:pStyle w:val="Heading2"/>
        <w:spacing w:after="180" w:before="360"/>
      </w:pPr>
      <w:r>
        <w:rPr>
          <w:color w:val="0E5AA7"/>
        </w:rPr>
        <w:t xml:space="preserve">4.2 Core Rules</w:t>
      </w:r>
    </w:p>
    <w:p>
      <w:pPr>
        <w:pStyle w:val="ListParagraph"/>
        <w:numPr>
          <w:ilvl w:val="0"/>
          <w:numId w:val="2"/>
        </w:numPr>
        <w:spacing w:after="60"/>
      </w:pPr>
      <w:r>
        <w:t xml:space="preserve">8px spacing base unit throughout — no arbitrary pixel values.</w:t>
      </w:r>
    </w:p>
    <w:p>
      <w:pPr>
        <w:pStyle w:val="ListParagraph"/>
        <w:numPr>
          <w:ilvl w:val="0"/>
          <w:numId w:val="2"/>
        </w:numPr>
        <w:spacing w:after="60"/>
      </w:pPr>
      <w:r>
        <w:t xml:space="preserve">8px radius cards/inputs, 6px buttons/badges, 12px modals.</w:t>
      </w:r>
    </w:p>
    <w:p>
      <w:pPr>
        <w:pStyle w:val="ListParagraph"/>
        <w:numPr>
          <w:ilvl w:val="0"/>
          <w:numId w:val="2"/>
        </w:numPr>
        <w:spacing w:after="60"/>
      </w:pPr>
      <w:r>
        <w:t xml:space="preserve">Single grotesque sans-serif for all UI text; a companion serif only for Client Portal display moments.</w:t>
      </w:r>
    </w:p>
    <w:p>
      <w:pPr>
        <w:pStyle w:val="ListParagraph"/>
        <w:numPr>
          <w:ilvl w:val="0"/>
          <w:numId w:val="2"/>
        </w:numPr>
        <w:spacing w:after="60"/>
      </w:pPr>
      <w:r>
        <w:t xml:space="preserve">One icon set, 2px stroke, 24×24 grid, outline default / filled for active state only.</w:t>
      </w:r>
    </w:p>
    <w:p>
      <w:pPr>
        <w:pStyle w:val="ListParagraph"/>
        <w:numPr>
          <w:ilvl w:val="0"/>
          <w:numId w:val="2"/>
        </w:numPr>
        <w:spacing w:after="60"/>
      </w:pPr>
      <w:r>
        <w:t xml:space="preserve">Motion: 150–250ms, ease-out, clarifies state changes only — except the 3D Studio, which permits more expressive motion.</w:t>
      </w:r>
    </w:p>
    <w:p>
      <w:pPr>
        <w:pStyle w:val="ListParagraph"/>
        <w:numPr>
          <w:ilvl w:val="0"/>
          <w:numId w:val="2"/>
        </w:numPr>
        <w:spacing w:after="60"/>
      </w:pPr>
      <w:r>
        <w:t xml:space="preserve">WCAG 2.1 AA baseline: 4.5:1 contrast, full keyboard nav, aria-live for dynamic content, prefers-reduced-motion respected.</w:t>
      </w:r>
    </w:p>
    <w:p>
      <w:pPr>
        <w:pStyle w:val="Heading2"/>
        <w:spacing w:after="180" w:before="360"/>
      </w:pPr>
      <w:r>
        <w:rPr>
          <w:color w:val="0E5AA7"/>
        </w:rPr>
        <w:t xml:space="preserve">4.3 Component Library (built once in /packages/ui)</w:t>
      </w:r>
    </w:p>
    <w:p>
      <w:pPr>
        <w:spacing w:after="160"/>
      </w:pPr>
      <w:r>
        <w:t xml:space="preserve">Buttons, Cards, Forms, Dropdowns, Tables, Timeline, Stepper, Tabs, Accordions, Dialogs, Upload Areas, Progress Bars, Charts, Notifications, Alerts, Badges, Tags, Status Indicators, Search, Filters, Pagination. Full detail: Design Bible Ch. 15.</w:t>
      </w:r>
    </w:p>
    <w:p>
      <w:pPr>
        <w:pStyle w:val="Heading2"/>
        <w:spacing w:after="180" w:before="360"/>
      </w:pPr>
      <w:r>
        <w:rPr>
          <w:color w:val="0E5AA7"/>
        </w:rPr>
        <w:t xml:space="preserve">4.4 RTL &amp; Internationalization</w:t>
      </w:r>
    </w:p>
    <w:p>
      <w:pPr>
        <w:spacing w:after="160"/>
      </w:pPr>
      <w:r>
        <w:t xml:space="preserve">16 languages; full RTL mirroring for Hebrew, Arabic, Farsi, Urdu via logical (start/end) CSS properties, never physical left/right. Full detail: Design Bible Ch. 18.</w:t>
      </w:r>
    </w:p>
    <w:p>
      <w:pPr>
        <w:pStyle w:val="Heading1"/>
        <w:spacing w:after="240" w:before="480"/>
      </w:pPr>
      <w:r>
        <w:rPr>
          <w:color w:val="071B2E"/>
        </w:rPr>
        <w:t xml:space="preserve">Chapter 5 — Database Design</w:t>
      </w:r>
    </w:p>
    <w:p>
      <w:pPr>
        <w:pStyle w:val="Heading2"/>
        <w:spacing w:after="180" w:before="360"/>
      </w:pPr>
      <w:r>
        <w:rPr>
          <w:color w:val="0E5AA7"/>
        </w:rPr>
        <w:t xml:space="preserve">5.1 Entity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shd w:fill="071B2E" w:val="clear"/>
            <w:tcMar>
              <w:top w:type="dxa" w:w="100"/>
              <w:left w:type="dxa" w:w="120"/>
              <w:bottom w:type="dxa" w:w="100"/>
              <w:right w:type="dxa" w:w="120"/>
            </w:tcMar>
          </w:tcPr>
          <w:p>
            <w:r>
              <w:rPr>
                <w:b/>
                <w:bCs/>
                <w:color w:val="FFFFFF"/>
                <w:sz w:val="20"/>
                <w:szCs w:val="20"/>
              </w:rPr>
              <w:t xml:space="preserve">Domain</w:t>
            </w:r>
          </w:p>
        </w:tc>
        <w:tc>
          <w:tcPr>
            <w:shd w:fill="071B2E" w:val="clear"/>
            <w:tcMar>
              <w:top w:type="dxa" w:w="100"/>
              <w:left w:type="dxa" w:w="120"/>
              <w:bottom w:type="dxa" w:w="100"/>
              <w:right w:type="dxa" w:w="120"/>
            </w:tcMar>
          </w:tcPr>
          <w:p>
            <w:r>
              <w:rPr>
                <w:b/>
                <w:bCs/>
                <w:color w:val="FFFFFF"/>
                <w:sz w:val="20"/>
                <w:szCs w:val="20"/>
              </w:rPr>
              <w:t xml:space="preserve">Core Tables</w:t>
            </w:r>
          </w:p>
        </w:tc>
      </w:tr>
      <w:tr>
        <w:tc>
          <w:tcPr>
            <w:tcMar>
              <w:top w:type="dxa" w:w="100"/>
              <w:left w:type="dxa" w:w="120"/>
              <w:bottom w:type="dxa" w:w="100"/>
              <w:right w:type="dxa" w:w="120"/>
            </w:tcMar>
          </w:tcPr>
          <w:p>
            <w:r>
              <w:rPr>
                <w:b/>
                <w:bCs/>
                <w:sz w:val="20"/>
                <w:szCs w:val="20"/>
              </w:rPr>
              <w:t xml:space="preserve">Identity &amp; Access</w:t>
            </w:r>
          </w:p>
        </w:tc>
        <w:tc>
          <w:tcPr>
            <w:tcMar>
              <w:top w:type="dxa" w:w="100"/>
              <w:left w:type="dxa" w:w="120"/>
              <w:bottom w:type="dxa" w:w="100"/>
              <w:right w:type="dxa" w:w="120"/>
            </w:tcMar>
          </w:tcPr>
          <w:p>
            <w:r>
              <w:rPr>
                <w:b w:val="false"/>
                <w:bCs w:val="false"/>
                <w:sz w:val="20"/>
                <w:szCs w:val="20"/>
              </w:rPr>
              <w:t xml:space="preserve">users, roles, user_project_roles, organizations</w:t>
            </w:r>
          </w:p>
        </w:tc>
      </w:tr>
      <w:tr>
        <w:tc>
          <w:tcPr>
            <w:tcMar>
              <w:top w:type="dxa" w:w="100"/>
              <w:left w:type="dxa" w:w="120"/>
              <w:bottom w:type="dxa" w:w="100"/>
              <w:right w:type="dxa" w:w="120"/>
            </w:tcMar>
          </w:tcPr>
          <w:p>
            <w:r>
              <w:rPr>
                <w:b/>
                <w:bCs/>
                <w:sz w:val="20"/>
                <w:szCs w:val="20"/>
              </w:rPr>
              <w:t xml:space="preserve">Project</w:t>
            </w:r>
          </w:p>
        </w:tc>
        <w:tc>
          <w:tcPr>
            <w:tcMar>
              <w:top w:type="dxa" w:w="100"/>
              <w:left w:type="dxa" w:w="120"/>
              <w:bottom w:type="dxa" w:w="100"/>
              <w:right w:type="dxa" w:w="120"/>
            </w:tcMar>
          </w:tcPr>
          <w:p>
            <w:r>
              <w:rPr>
                <w:b w:val="false"/>
                <w:bCs w:val="false"/>
                <w:sz w:val="20"/>
                <w:szCs w:val="20"/>
              </w:rPr>
              <w:t xml:space="preserve">projects, project_types, project_phases, project_members</w:t>
            </w:r>
          </w:p>
        </w:tc>
      </w:tr>
      <w:tr>
        <w:tc>
          <w:tcPr>
            <w:tcMar>
              <w:top w:type="dxa" w:w="100"/>
              <w:left w:type="dxa" w:w="120"/>
              <w:bottom w:type="dxa" w:w="100"/>
              <w:right w:type="dxa" w:w="120"/>
            </w:tcMar>
          </w:tcPr>
          <w:p>
            <w:r>
              <w:rPr>
                <w:b/>
                <w:bCs/>
                <w:sz w:val="20"/>
                <w:szCs w:val="20"/>
              </w:rPr>
              <w:t xml:space="preserve">Estimating &amp; Financial</w:t>
            </w:r>
          </w:p>
        </w:tc>
        <w:tc>
          <w:tcPr>
            <w:tcMar>
              <w:top w:type="dxa" w:w="100"/>
              <w:left w:type="dxa" w:w="120"/>
              <w:bottom w:type="dxa" w:w="100"/>
              <w:right w:type="dxa" w:w="120"/>
            </w:tcMar>
          </w:tcPr>
          <w:p>
            <w:r>
              <w:rPr>
                <w:b w:val="false"/>
                <w:bCs w:val="false"/>
                <w:sz w:val="20"/>
                <w:szCs w:val="20"/>
              </w:rPr>
              <w:t xml:space="preserve">estimates, estimate_line_items, pricing_library, change_orders, invoices, payments</w:t>
            </w:r>
          </w:p>
        </w:tc>
      </w:tr>
      <w:tr>
        <w:tc>
          <w:tcPr>
            <w:tcMar>
              <w:top w:type="dxa" w:w="100"/>
              <w:left w:type="dxa" w:w="120"/>
              <w:bottom w:type="dxa" w:w="100"/>
              <w:right w:type="dxa" w:w="120"/>
            </w:tcMar>
          </w:tcPr>
          <w:p>
            <w:r>
              <w:rPr>
                <w:b/>
                <w:bCs/>
                <w:sz w:val="20"/>
                <w:szCs w:val="20"/>
              </w:rPr>
              <w:t xml:space="preserve">Blueprint &amp; Design</w:t>
            </w:r>
          </w:p>
        </w:tc>
        <w:tc>
          <w:tcPr>
            <w:tcMar>
              <w:top w:type="dxa" w:w="100"/>
              <w:left w:type="dxa" w:w="120"/>
              <w:bottom w:type="dxa" w:w="100"/>
              <w:right w:type="dxa" w:w="120"/>
            </w:tcMar>
          </w:tcPr>
          <w:p>
            <w:r>
              <w:rPr>
                <w:b w:val="false"/>
                <w:bCs w:val="false"/>
                <w:sz w:val="20"/>
                <w:szCs w:val="20"/>
              </w:rPr>
              <w:t xml:space="preserve">blueprints, blueprint_versions, glb_models, material_options, material_selections</w:t>
            </w:r>
          </w:p>
        </w:tc>
      </w:tr>
      <w:tr>
        <w:tc>
          <w:tcPr>
            <w:tcMar>
              <w:top w:type="dxa" w:w="100"/>
              <w:left w:type="dxa" w:w="120"/>
              <w:bottom w:type="dxa" w:w="100"/>
              <w:right w:type="dxa" w:w="120"/>
            </w:tcMar>
          </w:tcPr>
          <w:p>
            <w:r>
              <w:rPr>
                <w:b/>
                <w:bCs/>
                <w:sz w:val="20"/>
                <w:szCs w:val="20"/>
              </w:rPr>
              <w:t xml:space="preserve">Field &amp; Progress</w:t>
            </w:r>
          </w:p>
        </w:tc>
        <w:tc>
          <w:tcPr>
            <w:tcMar>
              <w:top w:type="dxa" w:w="100"/>
              <w:left w:type="dxa" w:w="120"/>
              <w:bottom w:type="dxa" w:w="100"/>
              <w:right w:type="dxa" w:w="120"/>
            </w:tcMar>
          </w:tcPr>
          <w:p>
            <w:r>
              <w:rPr>
                <w:b w:val="false"/>
                <w:bCs w:val="false"/>
                <w:sz w:val="20"/>
                <w:szCs w:val="20"/>
              </w:rPr>
              <w:t xml:space="preserve">daily_reports, progress_entries, media_assets, inspections, rfis</w:t>
            </w:r>
          </w:p>
        </w:tc>
      </w:tr>
      <w:tr>
        <w:tc>
          <w:tcPr>
            <w:tcMar>
              <w:top w:type="dxa" w:w="100"/>
              <w:left w:type="dxa" w:w="120"/>
              <w:bottom w:type="dxa" w:w="100"/>
              <w:right w:type="dxa" w:w="120"/>
            </w:tcMar>
          </w:tcPr>
          <w:p>
            <w:r>
              <w:rPr>
                <w:b/>
                <w:bCs/>
                <w:sz w:val="20"/>
                <w:szCs w:val="20"/>
              </w:rPr>
              <w:t xml:space="preserve">Portal &amp; Collaboration</w:t>
            </w:r>
          </w:p>
        </w:tc>
        <w:tc>
          <w:tcPr>
            <w:tcMar>
              <w:top w:type="dxa" w:w="100"/>
              <w:left w:type="dxa" w:w="120"/>
              <w:bottom w:type="dxa" w:w="100"/>
              <w:right w:type="dxa" w:w="120"/>
            </w:tcMar>
          </w:tcPr>
          <w:p>
            <w:r>
              <w:rPr>
                <w:b w:val="false"/>
                <w:bCs w:val="false"/>
                <w:sz w:val="20"/>
                <w:szCs w:val="20"/>
              </w:rPr>
              <w:t xml:space="preserve">approvals, approval_requests, messages, notifications, electronic_signatures</w:t>
            </w:r>
          </w:p>
        </w:tc>
      </w:tr>
      <w:tr>
        <w:tc>
          <w:tcPr>
            <w:tcMar>
              <w:top w:type="dxa" w:w="100"/>
              <w:left w:type="dxa" w:w="120"/>
              <w:bottom w:type="dxa" w:w="100"/>
              <w:right w:type="dxa" w:w="120"/>
            </w:tcMar>
          </w:tcPr>
          <w:p>
            <w:r>
              <w:rPr>
                <w:b/>
                <w:bCs/>
                <w:sz w:val="20"/>
                <w:szCs w:val="20"/>
              </w:rPr>
              <w:t xml:space="preserve">Vendor &amp; Subcontractor</w:t>
            </w:r>
          </w:p>
        </w:tc>
        <w:tc>
          <w:tcPr>
            <w:tcMar>
              <w:top w:type="dxa" w:w="100"/>
              <w:left w:type="dxa" w:w="120"/>
              <w:bottom w:type="dxa" w:w="100"/>
              <w:right w:type="dxa" w:w="120"/>
            </w:tcMar>
          </w:tcPr>
          <w:p>
            <w:r>
              <w:rPr>
                <w:b w:val="false"/>
                <w:bCs w:val="false"/>
                <w:sz w:val="20"/>
                <w:szCs w:val="20"/>
              </w:rPr>
              <w:t xml:space="preserve">purchase_orders, quotes, subcontractor_documents, delivery_tracking</w:t>
            </w:r>
          </w:p>
        </w:tc>
      </w:tr>
      <w:tr>
        <w:tc>
          <w:tcPr>
            <w:tcMar>
              <w:top w:type="dxa" w:w="100"/>
              <w:left w:type="dxa" w:w="120"/>
              <w:bottom w:type="dxa" w:w="100"/>
              <w:right w:type="dxa" w:w="120"/>
            </w:tcMar>
          </w:tcPr>
          <w:p>
            <w:r>
              <w:rPr>
                <w:b/>
                <w:bCs/>
                <w:sz w:val="20"/>
                <w:szCs w:val="20"/>
              </w:rPr>
              <w:t xml:space="preserve">Document Integration</w:t>
            </w:r>
          </w:p>
        </w:tc>
        <w:tc>
          <w:tcPr>
            <w:tcMar>
              <w:top w:type="dxa" w:w="100"/>
              <w:left w:type="dxa" w:w="120"/>
              <w:bottom w:type="dxa" w:w="100"/>
              <w:right w:type="dxa" w:w="120"/>
            </w:tcMar>
          </w:tcPr>
          <w:p>
            <w:r>
              <w:rPr>
                <w:b w:val="false"/>
                <w:bCs w:val="false"/>
                <w:sz w:val="20"/>
                <w:szCs w:val="20"/>
              </w:rPr>
              <w:t xml:space="preserve">document_requests, document_status</w:t>
            </w:r>
          </w:p>
        </w:tc>
      </w:tr>
      <w:tr>
        <w:tc>
          <w:tcPr>
            <w:tcMar>
              <w:top w:type="dxa" w:w="100"/>
              <w:left w:type="dxa" w:w="120"/>
              <w:bottom w:type="dxa" w:w="100"/>
              <w:right w:type="dxa" w:w="120"/>
            </w:tcMar>
          </w:tcPr>
          <w:p>
            <w:r>
              <w:rPr>
                <w:b/>
                <w:bCs/>
                <w:sz w:val="20"/>
                <w:szCs w:val="20"/>
              </w:rPr>
              <w:t xml:space="preserve">Platform</w:t>
            </w:r>
          </w:p>
        </w:tc>
        <w:tc>
          <w:tcPr>
            <w:tcMar>
              <w:top w:type="dxa" w:w="100"/>
              <w:left w:type="dxa" w:w="120"/>
              <w:bottom w:type="dxa" w:w="100"/>
              <w:right w:type="dxa" w:w="120"/>
            </w:tcMar>
          </w:tcPr>
          <w:p>
            <w:r>
              <w:rPr>
                <w:b w:val="false"/>
                <w:bCs w:val="false"/>
                <w:sz w:val="20"/>
                <w:szCs w:val="20"/>
              </w:rPr>
              <w:t xml:space="preserve">audit_logs, translations, activity_history, events</w:t>
            </w:r>
          </w:p>
        </w:tc>
      </w:tr>
    </w:tbl>
    <w:p>
      <w:pPr>
        <w:spacing w:after="160"/>
      </w:pPr>
      <w:r>
        <w:t xml:space="preserve">The schema is hub-and-spoke around projects, so RLS policies (Ch. 3.5) can be written once and reused. Full detail: PRD Vol. IV.</w:t>
      </w:r>
    </w:p>
    <w:p>
      <w:pPr>
        <w:pStyle w:val="Heading1"/>
        <w:spacing w:after="240" w:before="480"/>
      </w:pPr>
      <w:r>
        <w:rPr>
          <w:color w:val="071B2E"/>
        </w:rPr>
        <w:t xml:space="preserve">Chapter 6 — API Specifications</w:t>
      </w:r>
    </w:p>
    <w:p>
      <w:pPr>
        <w:pStyle w:val="ListParagraph"/>
        <w:numPr>
          <w:ilvl w:val="0"/>
          <w:numId w:val="2"/>
        </w:numPr>
        <w:spacing w:after="60"/>
      </w:pPr>
      <w:r>
        <w:t xml:space="preserve">REST-first, GraphQL-compatible resource shapes, versioned from day one (/api/v1/...).</w:t>
      </w:r>
    </w:p>
    <w:p>
      <w:pPr>
        <w:pStyle w:val="ListParagraph"/>
        <w:numPr>
          <w:ilvl w:val="0"/>
          <w:numId w:val="2"/>
        </w:numPr>
        <w:spacing w:after="60"/>
      </w:pPr>
      <w:r>
        <w:t xml:space="preserve">Every endpoint enforces the same RLS the database enforces directly — never a bypass.</w:t>
      </w:r>
    </w:p>
    <w:p>
      <w:pPr>
        <w:pStyle w:val="ListParagraph"/>
        <w:numPr>
          <w:ilvl w:val="0"/>
          <w:numId w:val="2"/>
        </w:numPr>
        <w:spacing w:after="60"/>
      </w:pPr>
      <w:r>
        <w:t xml:space="preserve">Idempotency keys on all mutating endpoints with external effects (notably Document Generator requests).</w:t>
      </w:r>
    </w:p>
    <w:p>
      <w:pPr>
        <w:pStyle w:val="ListParagraph"/>
        <w:numPr>
          <w:ilvl w:val="0"/>
          <w:numId w:val="2"/>
        </w:numPr>
        <w:spacing w:after="60"/>
      </w:pPr>
      <w:r>
        <w:t xml:space="preserve">Consistent error shape (code, message, request id) across every endpoint.</w:t>
      </w:r>
    </w:p>
    <w:p>
      <w:pPr>
        <w:pStyle w:val="ListParagraph"/>
        <w:numPr>
          <w:ilvl w:val="0"/>
          <w:numId w:val="2"/>
        </w:numPr>
        <w:spacing w:after="60"/>
      </w:pPr>
      <w:r>
        <w:t xml:space="preserve">Rate limiting per authenticated caller; every request logged with request id, caller, endpoint, status, latency.</w:t>
      </w:r>
    </w:p>
    <w:p>
      <w:pPr>
        <w:spacing w:after="160"/>
      </w:pPr>
      <w:r>
        <w:t xml:space="preserve">Full detail: PRD Vol. IX.</w:t>
      </w:r>
    </w:p>
    <w:p>
      <w:pPr>
        <w:pStyle w:val="Heading1"/>
        <w:spacing w:after="240" w:before="480"/>
      </w:pPr>
      <w:r>
        <w:rPr>
          <w:color w:val="071B2E"/>
        </w:rPr>
        <w:t xml:space="preserve">Chapter 7 — AI Architecture</w:t>
      </w:r>
    </w:p>
    <w:p>
      <w:pPr>
        <w:spacing w:after="160"/>
      </w:pPr>
      <w:r>
        <w:t xml:space="preserve">AI Services is called, never calls — it cannot initiate a write against project data. Pattern for every AI capability: AI Gateway in, proposal object out, the existing module's normal write-path handles persistence, so AI-suggested and human-entered data pass through identical validation and RLS.</w:t>
      </w:r>
    </w:p>
    <w:p>
      <w:pPr>
        <w:pStyle w:val="ListParagraph"/>
        <w:numPr>
          <w:ilvl w:val="0"/>
          <w:numId w:val="2"/>
        </w:numPr>
        <w:spacing w:after="60"/>
      </w:pPr>
      <w:r>
        <w:t xml:space="preserve">AI Estimating — Voice Dictation, Photo Upload, Blueprint Upload, Room Scan inputs; always review-before-commit.</w:t>
      </w:r>
    </w:p>
    <w:p>
      <w:pPr>
        <w:pStyle w:val="ListParagraph"/>
        <w:numPr>
          <w:ilvl w:val="0"/>
          <w:numId w:val="2"/>
        </w:numPr>
        <w:spacing w:after="60"/>
      </w:pPr>
      <w:r>
        <w:t xml:space="preserve">Blueprint Intelligence — recognition and comparison, stored alongside (never overwriting) the source file.</w:t>
      </w:r>
    </w:p>
    <w:p>
      <w:pPr>
        <w:pStyle w:val="ListParagraph"/>
        <w:numPr>
          <w:ilvl w:val="0"/>
          <w:numId w:val="2"/>
        </w:numPr>
        <w:spacing w:after="60"/>
      </w:pPr>
      <w:r>
        <w:t xml:space="preserve">AI Construction Assistant — queries through the same RLS-protected layer as any user; no elevated access.</w:t>
      </w:r>
    </w:p>
    <w:p>
      <w:pPr>
        <w:pStyle w:val="ListParagraph"/>
        <w:numPr>
          <w:ilvl w:val="0"/>
          <w:numId w:val="2"/>
        </w:numPr>
        <w:spacing w:after="60"/>
      </w:pPr>
      <w:r>
        <w:t xml:space="preserve">AI Scheduling &amp; Analytics — recommendations only, require explicit human action to apply.</w:t>
      </w:r>
    </w:p>
    <w:p>
      <w:pPr>
        <w:pStyle w:val="ListParagraph"/>
        <w:numPr>
          <w:ilvl w:val="0"/>
          <w:numId w:val="2"/>
        </w:numPr>
        <w:spacing w:after="60"/>
      </w:pPr>
      <w:r>
        <w:t xml:space="preserve">Phasing — AI Estimating and Blueprint Intelligence first, then Assistant, then Scheduling/Analytics, then Document Generation drafting assistance last.</w:t>
      </w:r>
    </w:p>
    <w:p>
      <w:pPr>
        <w:spacing w:after="160"/>
      </w:pPr>
      <w:r>
        <w:t xml:space="preserve">Full detail: PRD Vol. VII; Architecture Bible Ch. 5.</w:t>
      </w:r>
    </w:p>
    <w:p>
      <w:pPr>
        <w:pStyle w:val="Heading1"/>
        <w:spacing w:after="240" w:before="480"/>
      </w:pPr>
      <w:r>
        <w:rPr>
          <w:color w:val="071B2E"/>
        </w:rPr>
        <w:t xml:space="preserve">Chapter 8 — 3D Standards</w:t>
      </w:r>
    </w:p>
    <w:p>
      <w:pPr>
        <w:pStyle w:val="ListParagraph"/>
        <w:numPr>
          <w:ilvl w:val="0"/>
          <w:numId w:val="2"/>
        </w:numPr>
        <w:spacing w:after="60"/>
      </w:pPr>
      <w:r>
        <w:t xml:space="preserve">No custom rendering engine — Blender-authored GLB assets only, rendered via React Three Fiber/Three.js.</w:t>
      </w:r>
    </w:p>
    <w:p>
      <w:pPr>
        <w:pStyle w:val="ListParagraph"/>
        <w:numPr>
          <w:ilvl w:val="0"/>
          <w:numId w:val="2"/>
        </w:numPr>
        <w:spacing w:after="60"/>
      </w:pPr>
      <w:r>
        <w:t xml:space="preserve">Each configurable surface (flooring, cabinets, countertops, windows, doors, paint) is a distinct mesh group bound to a material_options category.</w:t>
      </w:r>
    </w:p>
    <w:p>
      <w:pPr>
        <w:pStyle w:val="ListParagraph"/>
        <w:numPr>
          <w:ilvl w:val="0"/>
          <w:numId w:val="2"/>
        </w:numPr>
        <w:spacing w:after="60"/>
      </w:pPr>
      <w:r>
        <w:t xml:space="preserve">Polygon budgets: ~2M triangles / 4K textures desktop, ~500K triangles / 2K textures mobile.</w:t>
      </w:r>
    </w:p>
    <w:p>
      <w:pPr>
        <w:pStyle w:val="ListParagraph"/>
        <w:numPr>
          <w:ilvl w:val="0"/>
          <w:numId w:val="2"/>
        </w:numPr>
        <w:spacing w:after="60"/>
      </w:pPr>
      <w:r>
        <w:t xml:space="preserve">Material selections are draft (client-local) until explicit submit, which creates an approval_request and, where cost changes, a change order.</w:t>
      </w:r>
    </w:p>
    <w:p>
      <w:pPr>
        <w:pStyle w:val="ListParagraph"/>
        <w:numPr>
          <w:ilvl w:val="0"/>
          <w:numId w:val="2"/>
        </w:numPr>
        <w:spacing w:after="60"/>
      </w:pPr>
      <w:r>
        <w:t xml:space="preserve">Visual language: Deep Navy vignette chrome, floating glass material panel, more expressive motion permitted here only.</w:t>
      </w:r>
    </w:p>
    <w:p>
      <w:pPr>
        <w:spacing w:after="160"/>
      </w:pPr>
      <w:r>
        <w:t xml:space="preserve">Full detail: PRD Vol. VIII; Design Bible Ch. 9–10.</w:t>
      </w:r>
    </w:p>
    <w:p>
      <w:pPr>
        <w:pStyle w:val="Heading1"/>
        <w:spacing w:after="240" w:before="480"/>
      </w:pPr>
      <w:r>
        <w:rPr>
          <w:color w:val="071B2E"/>
        </w:rPr>
        <w:t xml:space="preserve">Chapter 9 — Development Workflow</w:t>
      </w:r>
    </w:p>
    <w:p>
      <w:pPr>
        <w:pStyle w:val="Heading2"/>
        <w:spacing w:after="180" w:before="360"/>
      </w:pPr>
      <w:r>
        <w:rPr>
          <w:color w:val="0E5AA7"/>
        </w:rPr>
        <w:t xml:space="preserve">9.1 Branching</w:t>
      </w:r>
    </w:p>
    <w:p>
      <w:pPr>
        <w:pStyle w:val="ListParagraph"/>
        <w:numPr>
          <w:ilvl w:val="0"/>
          <w:numId w:val="2"/>
        </w:numPr>
        <w:spacing w:after="60"/>
      </w:pPr>
      <w:r>
        <w:t xml:space="preserve">main — protected, always deployable, requires PR review + passing CI.</w:t>
      </w:r>
    </w:p>
    <w:p>
      <w:pPr>
        <w:pStyle w:val="ListParagraph"/>
        <w:numPr>
          <w:ilvl w:val="0"/>
          <w:numId w:val="2"/>
        </w:numPr>
        <w:spacing w:after="60"/>
      </w:pPr>
      <w:r>
        <w:t xml:space="preserve">feature/{module}-{description} — one branch per unit of work.</w:t>
      </w:r>
    </w:p>
    <w:p>
      <w:pPr>
        <w:pStyle w:val="ListParagraph"/>
        <w:numPr>
          <w:ilvl w:val="0"/>
          <w:numId w:val="2"/>
        </w:numPr>
        <w:spacing w:after="60"/>
      </w:pPr>
      <w:r>
        <w:t xml:space="preserve">hotfix/{description} — urgent production fixes.</w:t>
      </w:r>
    </w:p>
    <w:p>
      <w:pPr>
        <w:pStyle w:val="Heading2"/>
        <w:spacing w:after="180" w:before="360"/>
      </w:pPr>
      <w:r>
        <w:rPr>
          <w:color w:val="0E5AA7"/>
        </w:rPr>
        <w:t xml:space="preserve">9.2 Commits &amp; PRs</w:t>
      </w:r>
    </w:p>
    <w:p>
      <w:pPr>
        <w:spacing w:after="160"/>
      </w:pPr>
      <w:r>
        <w:t xml:space="preserve">Conventional Commits (feat/fix/docs/refactor/test/chore). Every PR cites the Bible chapter (or source volume/chapter) it implements, includes before/after screenshots for UI changes, and requires CI pass + one approval.</w:t>
      </w:r>
    </w:p>
    <w:p>
      <w:pPr>
        <w:spacing w:after="160"/>
      </w:pPr>
      <w:r>
        <w:t xml:space="preserve">Full detail: Engineering Standards Ch. 7.</w:t>
      </w:r>
    </w:p>
    <w:p>
      <w:pPr>
        <w:pStyle w:val="Heading1"/>
        <w:spacing w:after="240" w:before="480"/>
      </w:pPr>
      <w:r>
        <w:rPr>
          <w:color w:val="071B2E"/>
        </w:rPr>
        <w:t xml:space="preserve">Chapter 10 — Release Management</w:t>
      </w:r>
    </w:p>
    <w:p>
      <w:pPr>
        <w:pStyle w:val="Heading2"/>
        <w:spacing w:after="180" w:before="360"/>
      </w:pPr>
      <w:r>
        <w:rPr>
          <w:color w:val="0E5AA7"/>
        </w:rPr>
        <w:t xml:space="preserve">10.1 Current Build Order</w:t>
      </w:r>
    </w:p>
    <w:p>
      <w:pPr>
        <w:pStyle w:val="ListParagraph"/>
        <w:numPr>
          <w:ilvl w:val="0"/>
          <w:numId w:val="2"/>
        </w:numPr>
        <w:spacing w:after="60"/>
      </w:pPr>
      <w:r>
        <w:t xml:space="preserve">Phase 1 — Design System (theme, typography, icons, layouts, navigation, component library)</w:t>
      </w:r>
    </w:p>
    <w:p>
      <w:pPr>
        <w:pStyle w:val="ListParagraph"/>
        <w:numPr>
          <w:ilvl w:val="0"/>
          <w:numId w:val="2"/>
        </w:numPr>
        <w:spacing w:after="60"/>
      </w:pPr>
      <w:r>
        <w:t xml:space="preserve">Phase 2 — Authentication, Users, Organizations, Permissions, Language, Notifications</w:t>
      </w:r>
    </w:p>
    <w:p>
      <w:pPr>
        <w:pStyle w:val="ListParagraph"/>
        <w:numPr>
          <w:ilvl w:val="0"/>
          <w:numId w:val="2"/>
        </w:numPr>
        <w:spacing w:after="60"/>
      </w:pPr>
      <w:r>
        <w:t xml:space="preserve">Phase 3 — Projects, Clients, Vendors, Subcontractors, Documents</w:t>
      </w:r>
    </w:p>
    <w:p>
      <w:pPr>
        <w:pStyle w:val="ListParagraph"/>
        <w:numPr>
          <w:ilvl w:val="0"/>
          <w:numId w:val="2"/>
        </w:numPr>
        <w:spacing w:after="60"/>
      </w:pPr>
      <w:r>
        <w:t xml:space="preserve">Phase 4 — Estimating, AI, Blueprints, 3D, Material Studio</w:t>
      </w:r>
    </w:p>
    <w:p>
      <w:pPr>
        <w:pStyle w:val="ListParagraph"/>
        <w:numPr>
          <w:ilvl w:val="0"/>
          <w:numId w:val="2"/>
        </w:numPr>
        <w:spacing w:after="60"/>
      </w:pPr>
      <w:r>
        <w:t xml:space="preserve">Phase 5 — Financial: Invoices, Payments, Reports, Analytics</w:t>
      </w:r>
    </w:p>
    <w:p>
      <w:pPr>
        <w:spacing w:after="160"/>
      </w:pPr>
      <w:r>
        <w:t xml:space="preserve">A phase ships only when fully usable end-to-end for its target roles. Semantic versioning tagged on main at each production deployment. Full detail: Architecture Bible Ch. 12; PRD Vol. X (build order superseded per Ch. 0 governance).</w:t>
      </w:r>
    </w:p>
    <w:p>
      <w:pPr>
        <w:pStyle w:val="Heading1"/>
        <w:spacing w:after="240" w:before="480"/>
      </w:pPr>
      <w:r>
        <w:rPr>
          <w:color w:val="071B2E"/>
        </w:rPr>
        <w:t xml:space="preserve">Chapter 11 — Security</w:t>
      </w:r>
    </w:p>
    <w:p>
      <w:pPr>
        <w:pStyle w:val="ListParagraph"/>
        <w:numPr>
          <w:ilvl w:val="0"/>
          <w:numId w:val="2"/>
        </w:numPr>
        <w:spacing w:after="60"/>
      </w:pPr>
      <w:r>
        <w:t xml:space="preserve">Authentication — Supabase Auth exclusively, no parallel system, ever (including for the future Medical OS boundary).</w:t>
      </w:r>
    </w:p>
    <w:p>
      <w:pPr>
        <w:pStyle w:val="ListParagraph"/>
        <w:numPr>
          <w:ilvl w:val="0"/>
          <w:numId w:val="2"/>
        </w:numPr>
        <w:spacing w:after="60"/>
      </w:pPr>
      <w:r>
        <w:t xml:space="preserve">Authorization — RLS is the enforced boundary; application checks are UX convenience only.</w:t>
      </w:r>
    </w:p>
    <w:p>
      <w:pPr>
        <w:pStyle w:val="ListParagraph"/>
        <w:numPr>
          <w:ilvl w:val="0"/>
          <w:numId w:val="2"/>
        </w:numPr>
        <w:spacing w:after="60"/>
      </w:pPr>
      <w:r>
        <w:t xml:space="preserve">File permissions — signed URLs generated per-request against the same checks as row access.</w:t>
      </w:r>
    </w:p>
    <w:p>
      <w:pPr>
        <w:pStyle w:val="ListParagraph"/>
        <w:numPr>
          <w:ilvl w:val="0"/>
          <w:numId w:val="2"/>
        </w:numPr>
        <w:spacing w:after="60"/>
      </w:pPr>
      <w:r>
        <w:t xml:space="preserve">Audit logging — every mutating action on financial, approval, and document-integration tables logged via Postgres triggers.</w:t>
      </w:r>
    </w:p>
    <w:p>
      <w:pPr>
        <w:pStyle w:val="ListParagraph"/>
        <w:numPr>
          <w:ilvl w:val="0"/>
          <w:numId w:val="2"/>
        </w:numPr>
        <w:spacing w:after="60"/>
      </w:pPr>
      <w:r>
        <w:t xml:space="preserve">Encryption at rest and in transit; no plaintext secrets in the database.</w:t>
      </w:r>
    </w:p>
    <w:p>
      <w:pPr>
        <w:pStyle w:val="ListParagraph"/>
        <w:numPr>
          <w:ilvl w:val="0"/>
          <w:numId w:val="2"/>
        </w:numPr>
        <w:spacing w:after="60"/>
      </w:pPr>
      <w:r>
        <w:t xml:space="preserve">Secrets managed via Vercel/GitHub Actions secret stores only.</w:t>
      </w:r>
    </w:p>
    <w:p>
      <w:pPr>
        <w:pStyle w:val="ListParagraph"/>
        <w:numPr>
          <w:ilvl w:val="0"/>
          <w:numId w:val="2"/>
        </w:numPr>
        <w:spacing w:after="60"/>
      </w:pPr>
      <w:r>
        <w:t xml:space="preserve">API validation — every input validated against a typed schema at the boundary.</w:t>
      </w:r>
    </w:p>
    <w:p>
      <w:pPr>
        <w:pStyle w:val="ListParagraph"/>
        <w:numPr>
          <w:ilvl w:val="0"/>
          <w:numId w:val="2"/>
        </w:numPr>
        <w:spacing w:after="60"/>
      </w:pPr>
      <w:r>
        <w:t xml:space="preserve">Rate limiting per authenticated caller.</w:t>
      </w:r>
    </w:p>
    <w:p>
      <w:pPr>
        <w:pStyle w:val="ListParagraph"/>
        <w:numPr>
          <w:ilvl w:val="0"/>
          <w:numId w:val="2"/>
        </w:numPr>
        <w:spacing w:after="60"/>
      </w:pPr>
      <w:r>
        <w:t xml:space="preserve">Backups — automated, with a documented and periodically tested restore procedure.</w:t>
      </w:r>
    </w:p>
    <w:p>
      <w:pPr>
        <w:spacing w:after="160"/>
      </w:pPr>
      <w:r>
        <w:t xml:space="preserve">Full detail: Engineering Standards Ch. 10.</w:t>
      </w:r>
    </w:p>
    <w:p>
      <w:pPr>
        <w:pStyle w:val="Heading1"/>
        <w:spacing w:after="240" w:before="480"/>
      </w:pPr>
      <w:r>
        <w:rPr>
          <w:color w:val="071B2E"/>
        </w:rPr>
        <w:t xml:space="preserve">Chapter 12 —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shd w:fill="071B2E" w:val="clear"/>
            <w:tcMar>
              <w:top w:type="dxa" w:w="100"/>
              <w:left w:type="dxa" w:w="120"/>
              <w:bottom w:type="dxa" w:w="100"/>
              <w:right w:type="dxa" w:w="120"/>
            </w:tcMar>
          </w:tcPr>
          <w:p>
            <w:r>
              <w:rPr>
                <w:b/>
                <w:bCs/>
                <w:color w:val="FFFFFF"/>
                <w:sz w:val="20"/>
                <w:szCs w:val="20"/>
              </w:rPr>
              <w:t xml:space="preserve">Type</w:t>
            </w:r>
          </w:p>
        </w:tc>
        <w:tc>
          <w:tcPr>
            <w:shd w:fill="071B2E" w:val="clear"/>
            <w:tcMar>
              <w:top w:type="dxa" w:w="100"/>
              <w:left w:type="dxa" w:w="120"/>
              <w:bottom w:type="dxa" w:w="100"/>
              <w:right w:type="dxa" w:w="120"/>
            </w:tcMar>
          </w:tcPr>
          <w:p>
            <w:r>
              <w:rPr>
                <w:b/>
                <w:bCs/>
                <w:color w:val="FFFFFF"/>
                <w:sz w:val="20"/>
                <w:szCs w:val="20"/>
              </w:rPr>
              <w:t xml:space="preserve">Focus</w:t>
            </w:r>
          </w:p>
        </w:tc>
      </w:tr>
      <w:tr>
        <w:tc>
          <w:tcPr>
            <w:tcMar>
              <w:top w:type="dxa" w:w="100"/>
              <w:left w:type="dxa" w:w="120"/>
              <w:bottom w:type="dxa" w:w="100"/>
              <w:right w:type="dxa" w:w="120"/>
            </w:tcMar>
          </w:tcPr>
          <w:p>
            <w:r>
              <w:rPr>
                <w:b/>
                <w:bCs/>
                <w:sz w:val="20"/>
                <w:szCs w:val="20"/>
              </w:rPr>
              <w:t xml:space="preserve">Unit</w:t>
            </w:r>
          </w:p>
        </w:tc>
        <w:tc>
          <w:tcPr>
            <w:tcMar>
              <w:top w:type="dxa" w:w="100"/>
              <w:left w:type="dxa" w:w="120"/>
              <w:bottom w:type="dxa" w:w="100"/>
              <w:right w:type="dxa" w:w="120"/>
            </w:tcMar>
          </w:tcPr>
          <w:p>
            <w:r>
              <w:rPr>
                <w:b w:val="false"/>
                <w:bCs w:val="false"/>
                <w:sz w:val="20"/>
                <w:szCs w:val="20"/>
              </w:rPr>
              <w:t xml:space="preserve">Pure functions in /packages/utils</w:t>
            </w:r>
          </w:p>
        </w:tc>
      </w:tr>
      <w:tr>
        <w:tc>
          <w:tcPr>
            <w:tcMar>
              <w:top w:type="dxa" w:w="100"/>
              <w:left w:type="dxa" w:w="120"/>
              <w:bottom w:type="dxa" w:w="100"/>
              <w:right w:type="dxa" w:w="120"/>
            </w:tcMar>
          </w:tcPr>
          <w:p>
            <w:r>
              <w:rPr>
                <w:b/>
                <w:bCs/>
                <w:sz w:val="20"/>
                <w:szCs w:val="20"/>
              </w:rPr>
              <w:t xml:space="preserve">Integration</w:t>
            </w:r>
          </w:p>
        </w:tc>
        <w:tc>
          <w:tcPr>
            <w:tcMar>
              <w:top w:type="dxa" w:w="100"/>
              <w:left w:type="dxa" w:w="120"/>
              <w:bottom w:type="dxa" w:w="100"/>
              <w:right w:type="dxa" w:w="120"/>
            </w:tcMar>
          </w:tcPr>
          <w:p>
            <w:r>
              <w:rPr>
                <w:b w:val="false"/>
                <w:bCs w:val="false"/>
                <w:sz w:val="20"/>
                <w:szCs w:val="20"/>
              </w:rPr>
              <w:t xml:space="preserve">Server actions/API routes against test Supabase — verifies RLS enforcement</w:t>
            </w:r>
          </w:p>
        </w:tc>
      </w:tr>
      <w:tr>
        <w:tc>
          <w:tcPr>
            <w:tcMar>
              <w:top w:type="dxa" w:w="100"/>
              <w:left w:type="dxa" w:w="120"/>
              <w:bottom w:type="dxa" w:w="100"/>
              <w:right w:type="dxa" w:w="120"/>
            </w:tcMar>
          </w:tcPr>
          <w:p>
            <w:r>
              <w:rPr>
                <w:b/>
                <w:bCs/>
                <w:sz w:val="20"/>
                <w:szCs w:val="20"/>
              </w:rPr>
              <w:t xml:space="preserve">End-to-End</w:t>
            </w:r>
          </w:p>
        </w:tc>
        <w:tc>
          <w:tcPr>
            <w:tcMar>
              <w:top w:type="dxa" w:w="100"/>
              <w:left w:type="dxa" w:w="120"/>
              <w:bottom w:type="dxa" w:w="100"/>
              <w:right w:type="dxa" w:w="120"/>
            </w:tcMar>
          </w:tcPr>
          <w:p>
            <w:r>
              <w:rPr>
                <w:b w:val="false"/>
                <w:bCs w:val="false"/>
                <w:sz w:val="20"/>
                <w:szCs w:val="20"/>
              </w:rPr>
              <w:t xml:space="preserve">Critical user journeys per role</w:t>
            </w:r>
          </w:p>
        </w:tc>
      </w:tr>
      <w:tr>
        <w:tc>
          <w:tcPr>
            <w:tcMar>
              <w:top w:type="dxa" w:w="100"/>
              <w:left w:type="dxa" w:w="120"/>
              <w:bottom w:type="dxa" w:w="100"/>
              <w:right w:type="dxa" w:w="120"/>
            </w:tcMar>
          </w:tcPr>
          <w:p>
            <w:r>
              <w:rPr>
                <w:b/>
                <w:bCs/>
                <w:sz w:val="20"/>
                <w:szCs w:val="20"/>
              </w:rPr>
              <w:t xml:space="preserve">Security</w:t>
            </w:r>
          </w:p>
        </w:tc>
        <w:tc>
          <w:tcPr>
            <w:tcMar>
              <w:top w:type="dxa" w:w="100"/>
              <w:left w:type="dxa" w:w="120"/>
              <w:bottom w:type="dxa" w:w="100"/>
              <w:right w:type="dxa" w:w="120"/>
            </w:tcMar>
          </w:tcPr>
          <w:p>
            <w:r>
              <w:rPr>
                <w:b w:val="false"/>
                <w:bCs w:val="false"/>
                <w:sz w:val="20"/>
                <w:szCs w:val="20"/>
              </w:rPr>
              <w:t xml:space="preserve">RLS coverage, portal isolation, multi-tenant fixtures</w:t>
            </w:r>
          </w:p>
        </w:tc>
      </w:tr>
      <w:tr>
        <w:tc>
          <w:tcPr>
            <w:tcMar>
              <w:top w:type="dxa" w:w="100"/>
              <w:left w:type="dxa" w:w="120"/>
              <w:bottom w:type="dxa" w:w="100"/>
              <w:right w:type="dxa" w:w="120"/>
            </w:tcMar>
          </w:tcPr>
          <w:p>
            <w:r>
              <w:rPr>
                <w:b/>
                <w:bCs/>
                <w:sz w:val="20"/>
                <w:szCs w:val="20"/>
              </w:rPr>
              <w:t xml:space="preserve">Accessibility</w:t>
            </w:r>
          </w:p>
        </w:tc>
        <w:tc>
          <w:tcPr>
            <w:tcMar>
              <w:top w:type="dxa" w:w="100"/>
              <w:left w:type="dxa" w:w="120"/>
              <w:bottom w:type="dxa" w:w="100"/>
              <w:right w:type="dxa" w:w="120"/>
            </w:tcMar>
          </w:tcPr>
          <w:p>
            <w:r>
              <w:rPr>
                <w:b w:val="false"/>
                <w:bCs w:val="false"/>
                <w:sz w:val="20"/>
                <w:szCs w:val="20"/>
              </w:rPr>
              <w:t xml:space="preserve">WCAG 2.1 AA automated + periodic manual review</w:t>
            </w:r>
          </w:p>
        </w:tc>
      </w:tr>
      <w:tr>
        <w:tc>
          <w:tcPr>
            <w:tcMar>
              <w:top w:type="dxa" w:w="100"/>
              <w:left w:type="dxa" w:w="120"/>
              <w:bottom w:type="dxa" w:w="100"/>
              <w:right w:type="dxa" w:w="120"/>
            </w:tcMar>
          </w:tcPr>
          <w:p>
            <w:r>
              <w:rPr>
                <w:b/>
                <w:bCs/>
                <w:sz w:val="20"/>
                <w:szCs w:val="20"/>
              </w:rPr>
              <w:t xml:space="preserve">Performance</w:t>
            </w:r>
          </w:p>
        </w:tc>
        <w:tc>
          <w:tcPr>
            <w:tcMar>
              <w:top w:type="dxa" w:w="100"/>
              <w:left w:type="dxa" w:w="120"/>
              <w:bottom w:type="dxa" w:w="100"/>
              <w:right w:type="dxa" w:w="120"/>
            </w:tcMar>
          </w:tcPr>
          <w:p>
            <w:r>
              <w:rPr>
                <w:b w:val="false"/>
                <w:bCs w:val="false"/>
                <w:sz w:val="20"/>
                <w:szCs w:val="20"/>
              </w:rPr>
              <w:t xml:space="preserve">3D frame rate vs. polygon budgets, dashboard TTFB</w:t>
            </w:r>
          </w:p>
        </w:tc>
      </w:tr>
    </w:tbl>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No table ships without an integration test proving its RLS policy denies unauthorized access.</w:t>
            </w:r>
          </w:p>
        </w:tc>
      </w:tr>
    </w:tbl>
    <w:p>
      <w:pPr>
        <w:spacing w:after="160"/>
      </w:pPr>
      <w:r>
        <w:t xml:space="preserve">Full detail: Engineering Standards Ch. 8.</w:t>
      </w:r>
    </w:p>
    <w:p>
      <w:pPr>
        <w:pStyle w:val="Heading1"/>
        <w:spacing w:after="240" w:before="480"/>
      </w:pPr>
      <w:r>
        <w:rPr>
          <w:color w:val="071B2E"/>
        </w:rPr>
        <w:t xml:space="preserve">Chapter 13 — Prompt Library</w:t>
      </w:r>
    </w:p>
    <w:p>
      <w:pPr>
        <w:spacing w:after="160"/>
      </w:pPr>
      <w:r>
        <w:t xml:space="preserve">The canonical record of every master prompt used to build this document set, so future prompts extend the pattern rather than reinvent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400"/>
        <w:gridCol w:w="1600"/>
      </w:tblGrid>
      <w:tr>
        <w:trPr>
          <w:tblHeader/>
        </w:trPr>
        <w:tc>
          <w:tcPr>
            <w:shd w:fill="071B2E" w:val="clear"/>
            <w:tcMar>
              <w:top w:type="dxa" w:w="100"/>
              <w:left w:type="dxa" w:w="120"/>
              <w:bottom w:type="dxa" w:w="100"/>
              <w:right w:type="dxa" w:w="120"/>
            </w:tcMar>
          </w:tcPr>
          <w:p>
            <w:r>
              <w:rPr>
                <w:b/>
                <w:bCs/>
                <w:color w:val="FFFFFF"/>
                <w:sz w:val="20"/>
                <w:szCs w:val="20"/>
              </w:rPr>
              <w:t xml:space="preserve">Prompt</w:t>
            </w:r>
          </w:p>
        </w:tc>
        <w:tc>
          <w:tcPr>
            <w:shd w:fill="071B2E" w:val="clear"/>
            <w:tcMar>
              <w:top w:type="dxa" w:w="100"/>
              <w:left w:type="dxa" w:w="120"/>
              <w:bottom w:type="dxa" w:w="100"/>
              <w:right w:type="dxa" w:w="120"/>
            </w:tcMar>
          </w:tcPr>
          <w:p>
            <w:r>
              <w:rPr>
                <w:b/>
                <w:bCs/>
                <w:color w:val="FFFFFF"/>
                <w:sz w:val="20"/>
                <w:szCs w:val="20"/>
              </w:rPr>
              <w:t xml:space="preserve">Title</w:t>
            </w:r>
          </w:p>
        </w:tc>
        <w:tc>
          <w:tcPr>
            <w:shd w:fill="071B2E" w:val="clear"/>
            <w:tcMar>
              <w:top w:type="dxa" w:w="100"/>
              <w:left w:type="dxa" w:w="120"/>
              <w:bottom w:type="dxa" w:w="100"/>
              <w:right w:type="dxa" w:w="120"/>
            </w:tcMar>
          </w:tcPr>
          <w:p>
            <w:r>
              <w:rPr>
                <w:b/>
                <w:bCs/>
                <w:color w:val="FFFFFF"/>
                <w:sz w:val="20"/>
                <w:szCs w:val="20"/>
              </w:rPr>
              <w:t xml:space="preserve">Output</w:t>
            </w:r>
          </w:p>
        </w:tc>
        <w:tc>
          <w:tcPr>
            <w:shd w:fill="071B2E" w:val="clear"/>
            <w:tcMar>
              <w:top w:type="dxa" w:w="100"/>
              <w:left w:type="dxa" w:w="120"/>
              <w:bottom w:type="dxa" w:w="100"/>
              <w:right w:type="dxa" w:w="120"/>
            </w:tcMar>
          </w:tcPr>
          <w:p>
            <w:r>
              <w:rPr>
                <w:b/>
                <w:bCs/>
                <w:color w:val="FFFFFF"/>
                <w:sz w:val="20"/>
                <w:szCs w:val="20"/>
              </w:rPr>
              <w:t xml:space="preserve">Location</w:t>
            </w:r>
          </w:p>
        </w:tc>
      </w:tr>
      <w:tr>
        <w:tc>
          <w:tcPr>
            <w:tcMar>
              <w:top w:type="dxa" w:w="100"/>
              <w:left w:type="dxa" w:w="120"/>
              <w:bottom w:type="dxa" w:w="100"/>
              <w:right w:type="dxa" w:w="120"/>
            </w:tcMar>
          </w:tcPr>
          <w:p>
            <w:r>
              <w:rPr>
                <w:b/>
                <w:bCs/>
                <w:sz w:val="20"/>
                <w:szCs w:val="20"/>
              </w:rPr>
              <w:t xml:space="preserve">001</w:t>
            </w:r>
          </w:p>
        </w:tc>
        <w:tc>
          <w:tcPr>
            <w:tcMar>
              <w:top w:type="dxa" w:w="100"/>
              <w:left w:type="dxa" w:w="120"/>
              <w:bottom w:type="dxa" w:w="100"/>
              <w:right w:type="dxa" w:w="120"/>
            </w:tcMar>
          </w:tcPr>
          <w:p>
            <w:r>
              <w:rPr>
                <w:b w:val="false"/>
                <w:bCs w:val="false"/>
                <w:sz w:val="20"/>
                <w:szCs w:val="20"/>
              </w:rPr>
              <w:t xml:space="preserve">Master PRD</w:t>
            </w:r>
          </w:p>
        </w:tc>
        <w:tc>
          <w:tcPr>
            <w:tcMar>
              <w:top w:type="dxa" w:w="100"/>
              <w:left w:type="dxa" w:w="120"/>
              <w:bottom w:type="dxa" w:w="100"/>
              <w:right w:type="dxa" w:w="120"/>
            </w:tcMar>
          </w:tcPr>
          <w:p>
            <w:r>
              <w:rPr>
                <w:b w:val="false"/>
                <w:bCs w:val="false"/>
                <w:sz w:val="20"/>
                <w:szCs w:val="20"/>
              </w:rPr>
              <w:t xml:space="preserve">Master Product Requirements Document, Volumes I–X</w:t>
            </w:r>
          </w:p>
        </w:tc>
        <w:tc>
          <w:tcPr>
            <w:tcMar>
              <w:top w:type="dxa" w:w="100"/>
              <w:left w:type="dxa" w:w="120"/>
              <w:bottom w:type="dxa" w:w="100"/>
              <w:right w:type="dxa" w:w="120"/>
            </w:tcMar>
          </w:tcPr>
          <w:p>
            <w:r>
              <w:rPr>
                <w:b w:val="false"/>
                <w:bCs w:val="false"/>
                <w:sz w:val="20"/>
                <w:szCs w:val="20"/>
              </w:rPr>
              <w:t xml:space="preserve">/docs/01-Executive – /docs/10-Roadmap</w:t>
            </w:r>
          </w:p>
        </w:tc>
      </w:tr>
      <w:tr>
        <w:tc>
          <w:tcPr>
            <w:tcMar>
              <w:top w:type="dxa" w:w="100"/>
              <w:left w:type="dxa" w:w="120"/>
              <w:bottom w:type="dxa" w:w="100"/>
              <w:right w:type="dxa" w:w="120"/>
            </w:tcMar>
          </w:tcPr>
          <w:p>
            <w:r>
              <w:rPr>
                <w:b/>
                <w:bCs/>
                <w:sz w:val="20"/>
                <w:szCs w:val="20"/>
              </w:rPr>
              <w:t xml:space="preserve">002</w:t>
            </w:r>
          </w:p>
        </w:tc>
        <w:tc>
          <w:tcPr>
            <w:tcMar>
              <w:top w:type="dxa" w:w="100"/>
              <w:left w:type="dxa" w:w="120"/>
              <w:bottom w:type="dxa" w:w="100"/>
              <w:right w:type="dxa" w:w="120"/>
            </w:tcMar>
          </w:tcPr>
          <w:p>
            <w:r>
              <w:rPr>
                <w:b w:val="false"/>
                <w:bCs w:val="false"/>
                <w:sz w:val="20"/>
                <w:szCs w:val="20"/>
              </w:rPr>
              <w:t xml:space="preserve">Engineering Standards</w:t>
            </w:r>
          </w:p>
        </w:tc>
        <w:tc>
          <w:tcPr>
            <w:tcMar>
              <w:top w:type="dxa" w:w="100"/>
              <w:left w:type="dxa" w:w="120"/>
              <w:bottom w:type="dxa" w:w="100"/>
              <w:right w:type="dxa" w:w="120"/>
            </w:tcMar>
          </w:tcPr>
          <w:p>
            <w:r>
              <w:rPr>
                <w:b w:val="false"/>
                <w:bCs w:val="false"/>
                <w:sz w:val="20"/>
                <w:szCs w:val="20"/>
              </w:rPr>
              <w:t xml:space="preserve">Technical Architecture &amp; Engineering Standards Manual</w:t>
            </w:r>
          </w:p>
        </w:tc>
        <w:tc>
          <w:tcPr>
            <w:tcMar>
              <w:top w:type="dxa" w:w="100"/>
              <w:left w:type="dxa" w:w="120"/>
              <w:bottom w:type="dxa" w:w="100"/>
              <w:right w:type="dxa" w:w="120"/>
            </w:tcMar>
          </w:tcPr>
          <w:p>
            <w:r>
              <w:rPr>
                <w:b w:val="false"/>
                <w:bCs w:val="false"/>
                <w:sz w:val="20"/>
                <w:szCs w:val="20"/>
              </w:rPr>
              <w:t xml:space="preserve">/docs/11-Engineering-Standards</w:t>
            </w:r>
          </w:p>
        </w:tc>
      </w:tr>
      <w:tr>
        <w:tc>
          <w:tcPr>
            <w:tcMar>
              <w:top w:type="dxa" w:w="100"/>
              <w:left w:type="dxa" w:w="120"/>
              <w:bottom w:type="dxa" w:w="100"/>
              <w:right w:type="dxa" w:w="120"/>
            </w:tcMar>
          </w:tcPr>
          <w:p>
            <w:r>
              <w:rPr>
                <w:b/>
                <w:bCs/>
                <w:sz w:val="20"/>
                <w:szCs w:val="20"/>
              </w:rPr>
              <w:t xml:space="preserve">003</w:t>
            </w:r>
          </w:p>
        </w:tc>
        <w:tc>
          <w:tcPr>
            <w:tcMar>
              <w:top w:type="dxa" w:w="100"/>
              <w:left w:type="dxa" w:w="120"/>
              <w:bottom w:type="dxa" w:w="100"/>
              <w:right w:type="dxa" w:w="120"/>
            </w:tcMar>
          </w:tcPr>
          <w:p>
            <w:r>
              <w:rPr>
                <w:b w:val="false"/>
                <w:bCs w:val="false"/>
                <w:sz w:val="20"/>
                <w:szCs w:val="20"/>
              </w:rPr>
              <w:t xml:space="preserve">Design Bible</w:t>
            </w:r>
          </w:p>
        </w:tc>
        <w:tc>
          <w:tcPr>
            <w:tcMar>
              <w:top w:type="dxa" w:w="100"/>
              <w:left w:type="dxa" w:w="120"/>
              <w:bottom w:type="dxa" w:w="100"/>
              <w:right w:type="dxa" w:w="120"/>
            </w:tcMar>
          </w:tcPr>
          <w:p>
            <w:r>
              <w:rPr>
                <w:b w:val="false"/>
                <w:bCs w:val="false"/>
                <w:sz w:val="20"/>
                <w:szCs w:val="20"/>
              </w:rPr>
              <w:t xml:space="preserve">Complete UI/UX Design System</w:t>
            </w:r>
          </w:p>
        </w:tc>
        <w:tc>
          <w:tcPr>
            <w:tcMar>
              <w:top w:type="dxa" w:w="100"/>
              <w:left w:type="dxa" w:w="120"/>
              <w:bottom w:type="dxa" w:w="100"/>
              <w:right w:type="dxa" w:w="120"/>
            </w:tcMar>
          </w:tcPr>
          <w:p>
            <w:r>
              <w:rPr>
                <w:b w:val="false"/>
                <w:bCs w:val="false"/>
                <w:sz w:val="20"/>
                <w:szCs w:val="20"/>
              </w:rPr>
              <w:t xml:space="preserve">/docs/12-Design-Bible</w:t>
            </w:r>
          </w:p>
        </w:tc>
      </w:tr>
      <w:tr>
        <w:tc>
          <w:tcPr>
            <w:tcMar>
              <w:top w:type="dxa" w:w="100"/>
              <w:left w:type="dxa" w:w="120"/>
              <w:bottom w:type="dxa" w:w="100"/>
              <w:right w:type="dxa" w:w="120"/>
            </w:tcMar>
          </w:tcPr>
          <w:p>
            <w:r>
              <w:rPr>
                <w:b/>
                <w:bCs/>
                <w:sz w:val="20"/>
                <w:szCs w:val="20"/>
              </w:rPr>
              <w:t xml:space="preserve">003.5</w:t>
            </w:r>
          </w:p>
        </w:tc>
        <w:tc>
          <w:tcPr>
            <w:tcMar>
              <w:top w:type="dxa" w:w="100"/>
              <w:left w:type="dxa" w:w="120"/>
              <w:bottom w:type="dxa" w:w="100"/>
              <w:right w:type="dxa" w:w="120"/>
            </w:tcMar>
          </w:tcPr>
          <w:p>
            <w:r>
              <w:rPr>
                <w:b w:val="false"/>
                <w:bCs w:val="false"/>
                <w:sz w:val="20"/>
                <w:szCs w:val="20"/>
              </w:rPr>
              <w:t xml:space="preserve">Architecture Bible</w:t>
            </w:r>
          </w:p>
        </w:tc>
        <w:tc>
          <w:tcPr>
            <w:tcMar>
              <w:top w:type="dxa" w:w="100"/>
              <w:left w:type="dxa" w:w="120"/>
              <w:bottom w:type="dxa" w:w="100"/>
              <w:right w:type="dxa" w:w="120"/>
            </w:tcMar>
          </w:tcPr>
          <w:p>
            <w:r>
              <w:rPr>
                <w:b w:val="false"/>
                <w:bCs w:val="false"/>
                <w:sz w:val="20"/>
                <w:szCs w:val="20"/>
              </w:rPr>
              <w:t xml:space="preserve">System Architecture Bible (five core systems, event system)</w:t>
            </w:r>
          </w:p>
        </w:tc>
        <w:tc>
          <w:tcPr>
            <w:tcMar>
              <w:top w:type="dxa" w:w="100"/>
              <w:left w:type="dxa" w:w="120"/>
              <w:bottom w:type="dxa" w:w="100"/>
              <w:right w:type="dxa" w:w="120"/>
            </w:tcMar>
          </w:tcPr>
          <w:p>
            <w:r>
              <w:rPr>
                <w:b w:val="false"/>
                <w:bCs w:val="false"/>
                <w:sz w:val="20"/>
                <w:szCs w:val="20"/>
              </w:rPr>
              <w:t xml:space="preserve">/docs/13-Architecture-Bible</w:t>
            </w:r>
          </w:p>
        </w:tc>
      </w:tr>
      <w:tr>
        <w:tc>
          <w:tcPr>
            <w:tcMar>
              <w:top w:type="dxa" w:w="100"/>
              <w:left w:type="dxa" w:w="120"/>
              <w:bottom w:type="dxa" w:w="100"/>
              <w:right w:type="dxa" w:w="120"/>
            </w:tcMar>
          </w:tcPr>
          <w:p>
            <w:r>
              <w:rPr>
                <w:b/>
                <w:bCs/>
                <w:sz w:val="20"/>
                <w:szCs w:val="20"/>
              </w:rPr>
              <w:t xml:space="preserve">—</w:t>
            </w:r>
          </w:p>
        </w:tc>
        <w:tc>
          <w:tcPr>
            <w:tcMar>
              <w:top w:type="dxa" w:w="100"/>
              <w:left w:type="dxa" w:w="120"/>
              <w:bottom w:type="dxa" w:w="100"/>
              <w:right w:type="dxa" w:w="120"/>
            </w:tcMar>
          </w:tcPr>
          <w:p>
            <w:r>
              <w:rPr>
                <w:b w:val="false"/>
                <w:bCs w:val="false"/>
                <w:sz w:val="20"/>
                <w:szCs w:val="20"/>
              </w:rPr>
              <w:t xml:space="preserve">Master Development Bible</w:t>
            </w:r>
          </w:p>
        </w:tc>
        <w:tc>
          <w:tcPr>
            <w:tcMar>
              <w:top w:type="dxa" w:w="100"/>
              <w:left w:type="dxa" w:w="120"/>
              <w:bottom w:type="dxa" w:w="100"/>
              <w:right w:type="dxa" w:w="120"/>
            </w:tcMar>
          </w:tcPr>
          <w:p>
            <w:r>
              <w:rPr>
                <w:b w:val="false"/>
                <w:bCs w:val="false"/>
                <w:sz w:val="20"/>
                <w:szCs w:val="20"/>
              </w:rPr>
              <w:t xml:space="preserve">This document — consolidated single source of truth</w:t>
            </w:r>
          </w:p>
        </w:tc>
        <w:tc>
          <w:tcPr>
            <w:tcMar>
              <w:top w:type="dxa" w:w="100"/>
              <w:left w:type="dxa" w:w="120"/>
              <w:bottom w:type="dxa" w:w="100"/>
              <w:right w:type="dxa" w:w="120"/>
            </w:tcMar>
          </w:tcPr>
          <w:p>
            <w:r>
              <w:rPr>
                <w:b w:val="false"/>
                <w:bCs w:val="false"/>
                <w:sz w:val="20"/>
                <w:szCs w:val="20"/>
              </w:rPr>
              <w:t xml:space="preserve">/docs/00-Master-Development-Bible</w:t>
            </w:r>
          </w:p>
        </w:tc>
      </w:tr>
    </w:tbl>
    <w:p>
      <w:pPr>
        <w:pStyle w:val="Heading2"/>
        <w:spacing w:after="180" w:before="360"/>
      </w:pPr>
      <w:r>
        <w:rPr>
          <w:color w:val="0E5AA7"/>
        </w:rPr>
        <w:t xml:space="preserve">13.1 Template for Future Build Prompts (004+)</w:t>
      </w:r>
    </w:p>
    <w:p>
      <w:pPr>
        <w:spacing w:after="160"/>
      </w:pPr>
      <w:r>
        <w:t xml:space="preserve">Every future module-build prompt should follow this shape rather than restating requirements:</w:t>
      </w:r>
    </w:p>
    <w:p>
      <w:pPr>
        <w:pStyle w:val="ListParagraph"/>
        <w:numPr>
          <w:ilvl w:val="0"/>
          <w:numId w:val="2"/>
        </w:numPr>
        <w:spacing w:after="60"/>
      </w:pPr>
      <w:r>
        <w:t xml:space="preserve">State which Bible chapter(s) govern the work (e.g. "per Master Development Bible Ch. 5 and 6").</w:t>
      </w:r>
    </w:p>
    <w:p>
      <w:pPr>
        <w:pStyle w:val="ListParagraph"/>
        <w:numPr>
          <w:ilvl w:val="0"/>
          <w:numId w:val="2"/>
        </w:numPr>
        <w:spacing w:after="60"/>
      </w:pPr>
      <w:r>
        <w:t xml:space="preserve">State which PRD module (Vol. VI) and phase (Ch. 10 of this document) the work belongs to.</w:t>
      </w:r>
    </w:p>
    <w:p>
      <w:pPr>
        <w:pStyle w:val="ListParagraph"/>
        <w:numPr>
          <w:ilvl w:val="0"/>
          <w:numId w:val="2"/>
        </w:numPr>
        <w:spacing w:after="60"/>
      </w:pPr>
      <w:r>
        <w:t xml:space="preserve">State any new event types (Ch. 2.3 pattern) the module will publish or subscribe to.</w:t>
      </w:r>
    </w:p>
    <w:p>
      <w:pPr>
        <w:pStyle w:val="ListParagraph"/>
        <w:numPr>
          <w:ilvl w:val="0"/>
          <w:numId w:val="2"/>
        </w:numPr>
        <w:spacing w:after="60"/>
      </w:pPr>
      <w:r>
        <w:t xml:space="preserve">State which RLS pattern (Ch. 3.5) applies — flag explicitly if a new pattern seems needed rather than introducing one silently.</w:t>
      </w:r>
    </w:p>
    <w:p>
      <w:pPr>
        <w:pStyle w:val="ListParagraph"/>
        <w:numPr>
          <w:ilvl w:val="0"/>
          <w:numId w:val="2"/>
        </w:numPr>
        <w:spacing w:after="60"/>
      </w:pPr>
      <w:r>
        <w:t xml:space="preserve">Do not restate color values, spacing, naming conventions, or security rules already defined here — reference this Bible instead.</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Example prompt opening: "Build the Estimating module per Master Development Bible Ch. 5–7 and PRD Vol. VI Ch. 4. This module publishes estimate.approved (Ch. 2.3) and uses the Project-Membership RLS pattern (Ch. 3.5)." — precise, non-repetitive, and machine-checkable against this document.</w:t>
            </w:r>
          </w:p>
        </w:tc>
      </w:tr>
    </w:tbl>
    <w:p>
      <w:pPr>
        <w:pStyle w:val="Heading1"/>
        <w:spacing w:after="240" w:before="480"/>
      </w:pPr>
      <w:r>
        <w:rPr>
          <w:color w:val="071B2E"/>
        </w:rPr>
        <w:t xml:space="preserve">Chapter 14 — Document Governance</w:t>
      </w:r>
    </w:p>
    <w:p>
      <w:pPr>
        <w:spacing w:after="160"/>
      </w:pPr>
      <w:r>
        <w:t xml:space="preserve">This Master Development Bible is versioned at /docs/00-Master-Development-Bible alongside its four source documents. It is frozen as Version 1.0 together with the PRD, Engineering Standards Manual, Design Bible, and Architecture Bible. Any change to a rule summarized here requires updating both this Bible and its authoritative source document in the same pull request — the two must never drift apart.</w:t>
      </w:r>
    </w:p>
    <w:tbl>
      <w:tblPr>
        <w:tblW w:type="pct" w:w="100%"/>
        <w:tblBorders>
          <w:top w:val="single" w:color="0E5AA7" w:sz="4"/>
          <w:left w:val="single" w:color="0E5AA7" w:sz="4"/>
          <w:bottom w:val="single" w:color="0E5AA7" w:sz="4"/>
          <w:right w:val="single" w:color="0E5AA7" w:sz="4"/>
          <w:insideH w:val="single" w:color="auto" w:sz="4"/>
          <w:insideV w:val="single" w:color="auto" w:sz="4"/>
        </w:tblBorders>
      </w:tblPr>
      <w:tblGrid>
        <w:gridCol w:w="100"/>
      </w:tblGrid>
      <w:tr>
        <w:tc>
          <w:tcPr>
            <w:shd w:fill="EAF1F8" w:val="clear"/>
            <w:tcMar>
              <w:top w:type="dxa" w:w="160"/>
              <w:left w:type="dxa" w:w="200"/>
              <w:bottom w:type="dxa" w:w="160"/>
              <w:right w:type="dxa" w:w="200"/>
            </w:tcMar>
          </w:tcPr>
          <w:p>
            <w:r>
              <w:rPr>
                <w:i/>
                <w:iCs/>
                <w:color w:val="071B2E"/>
              </w:rPr>
              <w:t xml:space="preserve">With the Master Development Bible complete, Gottlieb Build &amp; Design has its own identity: five documents, one source of truth, ready for Phase 1 of the build order in Chapter 10.</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B2F3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C9CDD2"/>
        <w:sz w:val="16"/>
        <w:szCs w:val="16"/>
      </w:rPr>
      <w:t xml:space="preserve">GOTTLIEB BUILD &amp; DESIGN · MASTER DEVELOPMENT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pPr>
    <w:rPr>
      <w:b/>
      <w:bCs/>
      <w:color w:val="071B2E"/>
      <w:sz w:val="34"/>
      <w:szCs w:val="34"/>
    </w:rPr>
  </w:style>
  <w:style w:type="paragraph" w:styleId="Heading2">
    <w:name w:val="Heading 2"/>
    <w:basedOn w:val="Normal"/>
    <w:next w:val="Normal"/>
    <w:qFormat/>
    <w:pPr>
      <w:spacing w:after="180" w:before="360"/>
    </w:pPr>
    <w:rPr>
      <w:b/>
      <w:bCs/>
      <w:color w:val="0E5AA7"/>
      <w:sz w:val="27"/>
      <w:szCs w:val="27"/>
    </w:rPr>
  </w:style>
  <w:style w:type="paragraph" w:styleId="Heading3">
    <w:name w:val="Heading 3"/>
    <w:basedOn w:val="Normal"/>
    <w:next w:val="Normal"/>
    <w:qFormat/>
    <w:pPr>
      <w:spacing w:after="120" w:before="240"/>
    </w:pPr>
    <w:rPr>
      <w:b/>
      <w:bCs/>
      <w:color w:val="2B2F3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2026-08-04T22:44:09.915Z</dcterms:created>
  <dcterms:modified xsi:type="dcterms:W3CDTF">2026-08-04T22:44:09.928Z</dcterms:modified>
</cp:coreProperties>
</file>

<file path=docProps/custom.xml><?xml version="1.0" encoding="utf-8"?>
<Properties xmlns="http://schemas.openxmlformats.org/officeDocument/2006/custom-properties" xmlns:vt="http://schemas.openxmlformats.org/officeDocument/2006/docPropsVTypes"/>
</file>