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/>
      </w:pPr>
      <w:r>
        <w:rPr>
          <w:rFonts w:ascii="Microsoft YaHei" w:hAnsi="Microsoft YaHei" w:eastAsia="Microsoft YaHei"/>
          <w:b/>
          <w:color w:val="2E74B5"/>
          <w:sz w:val="20"/>
        </w:rPr>
        <w:t>STRATEGY PAPER  ·  2026—2030</w:t>
      </w:r>
    </w:p>
    <w:p>
      <w:pPr>
        <w:pStyle w:val="Title"/>
        <w:spacing w:after="200"/>
      </w:pPr>
      <w:r>
        <w:rPr>
          <w:rFonts w:ascii="Microsoft YaHei" w:hAnsi="Microsoft YaHei" w:eastAsia="Microsoft YaHei"/>
          <w:b/>
          <w:color w:val="16324F"/>
          <w:sz w:val="60"/>
        </w:rPr>
        <w:t>体育打卡项目的最终走向</w:t>
      </w:r>
    </w:p>
    <w:p>
      <w:pPr>
        <w:spacing w:after="480"/>
      </w:pPr>
      <w:r>
        <w:rPr>
          <w:rFonts w:ascii="Microsoft YaHei" w:hAnsi="Microsoft YaHei" w:eastAsia="Microsoft YaHei"/>
          <w:b/>
          <w:color w:val="2E74B5"/>
          <w:sz w:val="34"/>
        </w:rPr>
        <w:t>从“证明运动过”到 Active Campus OS + Evidence Lab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3FB"/>
          </w:tcPr>
          <w:p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起点</w:t>
              <w:br/>
            </w:r>
            <w:r>
              <w:rPr>
                <w:rFonts w:ascii="Microsoft YaHei" w:hAnsi="Microsoft YaHei" w:eastAsia="Microsoft YaHei"/>
                <w:color w:val="16324F"/>
                <w:sz w:val="21"/>
              </w:rPr>
              <w:t>BNBU学生运动打卡App与伯克利校园健身氛围观察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终局</w:t>
              <w:br/>
            </w:r>
            <w:r>
              <w:rPr>
                <w:rFonts w:ascii="Microsoft YaHei" w:hAnsi="Microsoft YaHei" w:eastAsia="Microsoft YaHei"/>
                <w:color w:val="16324F"/>
                <w:sz w:val="21"/>
              </w:rPr>
              <w:t>高校主动健康、校园体育治理与科研证据的数字底座</w:t>
            </w:r>
          </w:p>
        </w:tc>
      </w:tr>
      <w:tr>
        <w:trPr>
          <w:cantSplit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商业化</w:t>
              <w:br/>
            </w:r>
            <w:r>
              <w:rPr>
                <w:rFonts w:ascii="Microsoft YaHei" w:hAnsi="Microsoft YaHei" w:eastAsia="Microsoft YaHei"/>
                <w:color w:val="16324F"/>
                <w:sz w:val="21"/>
              </w:rPr>
              <w:t>B2B2C：学生免费，学校/场馆/研究项目为主要付费方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3FB"/>
          </w:tcPr>
          <w:p>
            <w:r>
              <w:rPr>
                <w:rFonts w:ascii="Microsoft YaHei" w:hAnsi="Microsoft YaHei" w:eastAsia="Microsoft YaHei"/>
                <w:b/>
                <w:color w:val="2E74B5"/>
                <w:sz w:val="20"/>
              </w:rPr>
              <w:t>扩张</w:t>
              <w:br/>
            </w:r>
            <w:r>
              <w:rPr>
                <w:rFonts w:ascii="Microsoft YaHei" w:hAnsi="Microsoft YaHei" w:eastAsia="Microsoft YaHei"/>
                <w:color w:val="16324F"/>
                <w:sz w:val="21"/>
              </w:rPr>
              <w:t>珠海样板 → 大湾区多校 → 公共场馆与主动健康邻近业务</w:t>
            </w:r>
          </w:p>
        </w:tc>
      </w:tr>
    </w:tbl>
    <w:p>
      <w:pPr>
        <w:spacing w:before="720"/>
      </w:pPr>
      <w:r>
        <w:rPr>
          <w:rFonts w:ascii="Microsoft YaHei" w:hAnsi="Microsoft YaHei" w:eastAsia="Microsoft YaHei"/>
          <w:color w:val="5D6772"/>
          <w:sz w:val="19"/>
        </w:rPr>
        <w:t>内部讲解文档｜版本 1.0｜截至 2026 年 7 月 14 日</w:t>
      </w:r>
    </w:p>
    <w:p>
      <w:r>
        <w:rPr>
          <w:rFonts w:ascii="Microsoft YaHei" w:hAnsi="Microsoft YaHei" w:eastAsia="Microsoft YaHei"/>
          <w:color w:val="5D6772"/>
          <w:sz w:val="19"/>
        </w:rPr>
        <w:t>适用对象：项目团队、校内导师、学校管理者、潜在合作伙伴</w:t>
      </w:r>
    </w:p>
    <w:p>
      <w:r>
        <w:br w:type="page"/>
      </w:r>
    </w:p>
    <w:p>
      <w:pPr>
        <w:pStyle w:val="Heading1"/>
      </w:pPr>
      <w:r>
        <w:t>执行结论：最终不是“打卡App”，而是一套活力校园数字基础设施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3FB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24F"/>
                <w:sz w:val="25"/>
              </w:rPr>
              <w:t>最终战略判断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把当前项目演化为“BNBU Active Campus OS｜活力校园操作系统 + Active Campus Evidence Lab｜校园运动健康证据平台”。它让运动更容易发生，让场馆更高效，让教师知识可沉淀，让干预效果可验证；再以珠海为样板，向大湾区高校和公共体育场景复制。</w:t>
            </w:r>
          </w:p>
        </w:tc>
      </w:tr>
    </w:tbl>
    <w:p>
      <w:pPr>
        <w:spacing w:after="0"/>
      </w:pPr>
    </w:p>
    <w:p>
      <w:pPr>
        <w:pStyle w:val="DeckQuote"/>
      </w:pPr>
      <w:r>
        <w:t>从“证明学生运动过”，走向“帮助学生愿意运动、持续运动，并证明什么方法真正有效”。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4200"/>
        <w:gridCol w:w="3910"/>
      </w:tblGrid>
      <w:tr>
        <w:trPr>
          <w:tblHeader w:val="true"/>
          <w:cantSplit/>
          <w:cantSplit/>
          <w:cantSplit/>
        </w:trPr>
        <w:tc>
          <w:tcPr>
            <w:tcW w:type="dxa" w:w="12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要素</w:t>
            </w:r>
          </w:p>
        </w:tc>
        <w:tc>
          <w:tcPr>
            <w:tcW w:type="dxa" w:w="42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最终选择</w:t>
            </w:r>
          </w:p>
        </w:tc>
        <w:tc>
          <w:tcPr>
            <w:tcW w:type="dxa" w:w="39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明确不做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客户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B2B2C：学生免费，学校/场馆/研究项目付费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不靠学生交易抽佣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产品</w:t>
            </w:r>
          </w:p>
        </w:tc>
        <w:tc>
          <w:tcPr>
            <w:tcW w:type="dxa" w:w="4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活动、可信内容、实时场馆、运营与研究闭环</w:t>
            </w:r>
          </w:p>
        </w:tc>
        <w:tc>
          <w:tcPr>
            <w:tcW w:type="dxa" w:w="3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不做纯打卡2.0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硬件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开放接口、合作厂商交付、平台负责接入与运维标准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早期不自产硬件、不囤库存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数据</w:t>
            </w:r>
          </w:p>
        </w:tc>
        <w:tc>
          <w:tcPr>
            <w:tcW w:type="dxa" w:w="4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服务学生、运营与合规研究；校内最小化处理</w:t>
            </w:r>
          </w:p>
        </w:tc>
        <w:tc>
          <w:tcPr>
            <w:tcW w:type="dxa" w:w="3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不出售个人健康数据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扩张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先一校闭环，再多校，再邻近公共健康业务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不因补贴临时堆功能</w:t>
            </w:r>
          </w:p>
        </w:tc>
      </w:tr>
    </w:tbl>
    <w:p>
      <w:pPr>
        <w:pStyle w:val="Heading2"/>
      </w:pPr>
      <w:r>
        <w:t>三条决定性逻辑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单纯打卡主要满足学校合规，学生自驱价值弱；课程结束后，使用价值也可能结束。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</w:rPr>
        <w:t>学生真正需要的是“有什么活动、哪里不挤、我该怎么练、有没有人一起练”；学校更可能为参与率、场馆效率、管理证据、科研成果和品牌案例付费。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hAnsi="Microsoft YaHei" w:eastAsia="Microsoft YaHei"/>
        </w:rPr>
        <w:t>政策正在从被动达标转向主动健康、过程与结果评价、跨部门协同、标准接口和可信AI；项目应顺势成为数字底座，而不是追逐单项补贴。</w:t>
      </w:r>
    </w:p>
    <w:p>
      <w:pPr>
        <w:pStyle w:val="Heading2"/>
      </w:pPr>
      <w:r>
        <w:t>本报告回答的六个问题</w:t>
      </w:r>
    </w:p>
    <w:p>
      <w:pPr>
        <w:pStyle w:val="ListBullet"/>
      </w:pPr>
      <w:r>
        <w:rPr>
          <w:rFonts w:ascii="Microsoft YaHei" w:hAnsi="Microsoft YaHei" w:eastAsia="Microsoft YaHei"/>
        </w:rPr>
        <w:t>伯克利健身氛围为什么会触发这个项目的升级？</w:t>
      </w:r>
    </w:p>
    <w:p>
      <w:pPr>
        <w:pStyle w:val="ListBullet"/>
      </w:pPr>
      <w:r>
        <w:rPr>
          <w:rFonts w:ascii="Microsoft YaHei" w:hAnsi="Microsoft YaHei" w:eastAsia="Microsoft YaHei"/>
        </w:rPr>
        <w:t>当前Android项目已经具备什么、还缺什么？</w:t>
      </w:r>
    </w:p>
    <w:p>
      <w:pPr>
        <w:pStyle w:val="ListBullet"/>
      </w:pPr>
      <w:r>
        <w:rPr>
          <w:rFonts w:ascii="Microsoft YaHei" w:hAnsi="Microsoft YaHei" w:eastAsia="Microsoft YaHei"/>
        </w:rPr>
        <w:t>商业化以后谁付钱，为什么付钱，什么不能收费？</w:t>
      </w:r>
    </w:p>
    <w:p>
      <w:pPr>
        <w:pStyle w:val="ListBullet"/>
      </w:pPr>
      <w:r>
        <w:rPr>
          <w:rFonts w:ascii="Microsoft YaHei" w:hAnsi="Microsoft YaHei" w:eastAsia="Microsoft YaHei"/>
        </w:rPr>
        <w:t>国家最新政策背后的深意是什么，会影响哪些人？</w:t>
      </w:r>
    </w:p>
    <w:p>
      <w:pPr>
        <w:pStyle w:val="ListBullet"/>
      </w:pPr>
      <w:r>
        <w:rPr>
          <w:rFonts w:ascii="Microsoft YaHei" w:hAnsi="Microsoft YaHei" w:eastAsia="Microsoft YaHei"/>
        </w:rPr>
        <w:t>项目沉淀的能力能迁移到哪些新业务，按什么顺序？</w:t>
      </w:r>
    </w:p>
    <w:p>
      <w:pPr>
        <w:pStyle w:val="ListBullet"/>
      </w:pPr>
      <w:r>
        <w:rPr>
          <w:rFonts w:ascii="Microsoft YaHei" w:hAnsi="Microsoft YaHei" w:eastAsia="Microsoft YaHei"/>
        </w:rPr>
        <w:t>未来90天、两年与五年的可执行路线是什么？</w:t>
      </w:r>
    </w:p>
    <w:p>
      <w:pPr>
        <w:pStyle w:val="Heading1"/>
      </w:pPr>
      <w:r>
        <w:t>1. 起点：从伯克利的“运动氛围”看见真正的问题</w:t>
      </w:r>
    </w:p>
    <w:p>
      <w:r>
        <w:rPr>
          <w:rFonts w:ascii="Microsoft YaHei" w:hAnsi="Microsoft YaHei" w:eastAsia="Microsoft YaHei"/>
          <w:b w:val="0"/>
        </w:rPr>
        <w:t>这次战略升级不是从功能清单开始，而是从一个很具体的感受开始：在UCB健身房里，很多人把运动当成日常生活的一部分。那里先有可见的氛围，再有同伴规范、便利资源和学生自驱。回看BNBU，现有体育打卡项目解决了“学校如何记录”，但还没有充分解决“学生为什么愿意来、来了做什么、哪里更适合、如何长期坚持”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24F"/>
                <w:sz w:val="25"/>
              </w:rPr>
              <w:t>关键洞察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UCB可以作为国际标杆和研究参照，但BNBU不能照搬。我们要把“氛围”拆成可建设、可测试的机制：活动可见性、同伴参与、可信指导、空间可用性、正向反馈与选择自由。</w:t>
            </w:r>
          </w:p>
        </w:tc>
      </w:tr>
    </w:tbl>
    <w:p>
      <w:pPr>
        <w:spacing w:after="0"/>
      </w:pPr>
    </w:p>
    <w:p>
      <w:pPr>
        <w:pStyle w:val="Heading2"/>
      </w:pPr>
      <w:r>
        <w:t>从观察到产品假设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50"/>
        <w:gridCol w:w="3300"/>
        <w:gridCol w:w="3910"/>
      </w:tblGrid>
      <w:tr>
        <w:trPr>
          <w:tblHeader w:val="true"/>
          <w:cantSplit/>
          <w:cantSplit/>
          <w:cantSplit/>
        </w:trPr>
        <w:tc>
          <w:tcPr>
            <w:tcW w:type="dxa" w:w="21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观察</w:t>
            </w:r>
          </w:p>
        </w:tc>
        <w:tc>
          <w:tcPr>
            <w:tcW w:type="dxa" w:w="33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机制假设</w:t>
            </w:r>
          </w:p>
        </w:tc>
        <w:tc>
          <w:tcPr>
            <w:tcW w:type="dxa" w:w="39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可验证产品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大家都在运动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可见的社会规范降低行动门槛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活力校园首页、活动流、运动护照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学生自己知道怎么练</w:t>
            </w:r>
          </w:p>
        </w:tc>
        <w:tc>
          <w:tcPr>
            <w:tcW w:type="dxa" w:w="3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可信知识与路径降低决策成本</w:t>
            </w:r>
          </w:p>
        </w:tc>
        <w:tc>
          <w:tcPr>
            <w:tcW w:type="dxa" w:w="3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教师认证资源、30分钟计划、分级内容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运动场所使用顺畅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实时信息减少无效到访与挫败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场馆实时状态、拥挤预测、错峰建议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运动成为校园文化</w:t>
            </w:r>
          </w:p>
        </w:tc>
        <w:tc>
          <w:tcPr>
            <w:tcW w:type="dxa" w:w="3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组织、赛事与内容持续强化氛围</w:t>
            </w:r>
          </w:p>
        </w:tc>
        <w:tc>
          <w:tcPr>
            <w:tcW w:type="dxa" w:w="3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篮球/羽毛球赛事、社群、年度活力报告</w:t>
            </w:r>
          </w:p>
        </w:tc>
      </w:tr>
    </w:tbl>
    <w:p>
      <w:pPr>
        <w:pStyle w:val="Heading1"/>
      </w:pPr>
      <w:r>
        <w:t>2. 当前项目基线：它已经是可运行的执行层</w:t>
      </w:r>
    </w:p>
    <w:p>
      <w:r>
        <w:rPr>
          <w:rFonts w:ascii="Microsoft YaHei" w:hAnsi="Microsoft YaHei" w:eastAsia="Microsoft YaHei"/>
          <w:b w:val="0"/>
        </w:rPr>
        <w:t>代码审查显示，当前仓库不是简单UI原型，而是一套有真实API鉴权的学生体育课程与打卡执行应用。它已经覆盖仪表盘、课程、打卡、成绩、个人中心等核心路径，并支持照片/视频证明、通知跳转、免修、缓存与安全存储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700"/>
        <w:gridCol w:w="3150"/>
        <w:gridCol w:w="3510"/>
      </w:tblGrid>
      <w:tr>
        <w:trPr>
          <w:tblHeader w:val="true"/>
          <w:cantSplit/>
          <w:cantSplit/>
          <w:cantSplit/>
        </w:trPr>
        <w:tc>
          <w:tcPr>
            <w:tcW w:type="dxa" w:w="27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已具备</w:t>
            </w:r>
          </w:p>
        </w:tc>
        <w:tc>
          <w:tcPr>
            <w:tcW w:type="dxa" w:w="31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战略意义</w:t>
            </w:r>
          </w:p>
        </w:tc>
        <w:tc>
          <w:tcPr>
            <w:tcW w:type="dxa" w:w="35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尚未具备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课程、学时、任务、历史记录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有真实校园工作流，可作为OS执行底座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活动平台与跨组织运营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多运动类型打卡、照片/视频证明</w:t>
            </w:r>
          </w:p>
        </w:tc>
        <w:tc>
          <w:tcPr>
            <w:tcW w:type="dxa" w:w="3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有行为记录入口</w:t>
            </w:r>
          </w:p>
        </w:tc>
        <w:tc>
          <w:tcPr>
            <w:tcW w:type="dxa" w:w="3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自主运动激励与内容闭环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成绩、通知、免修、身份信息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能接入正式校务流程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教师端、场馆端、管理端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真实API、缓存、Keystore加密</w:t>
            </w:r>
          </w:p>
        </w:tc>
        <w:tc>
          <w:tcPr>
            <w:tcW w:type="dxa" w:w="3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具备工程化基础</w:t>
            </w:r>
          </w:p>
        </w:tc>
        <w:tc>
          <w:tcPr>
            <w:tcW w:type="dxa" w:w="3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HTTPS、安全审计、多租户配置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AI审核字段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已有智能化接口想象空间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实际模型、可解释复核与申诉机制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7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E98A3A"/>
                <w:sz w:val="25"/>
              </w:rPr>
              <w:t>产品缺口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当前代码里还没有活动聚合、运动资源库、体育馆实时人流、科研知情同意与去标识数据层、硬件接入、教师/场馆/校级管理门户，也没有商业交易。</w:t>
            </w:r>
          </w:p>
        </w:tc>
      </w:tr>
    </w:tbl>
    <w:p>
      <w:pPr>
        <w:spacing w:after="0"/>
      </w:pPr>
    </w:p>
    <w:p>
      <w:pPr>
        <w:pStyle w:val="Heading2"/>
      </w:pPr>
      <w:r>
        <w:t>必须先修的技术与治理风险</w:t>
      </w:r>
    </w:p>
    <w:p>
      <w:pPr>
        <w:pStyle w:val="ListBullet"/>
      </w:pPr>
      <w:r>
        <w:rPr>
          <w:rFonts w:ascii="Microsoft YaHei" w:hAnsi="Microsoft YaHei" w:eastAsia="Microsoft YaHei"/>
        </w:rPr>
        <w:t>生产接口目前存在明文HTTP与允许明文流量的风险；商业化和科研前必须全面HTTPS、证书与安全测试。</w:t>
      </w:r>
    </w:p>
    <w:p>
      <w:pPr>
        <w:pStyle w:val="ListBullet"/>
      </w:pPr>
      <w:r>
        <w:rPr>
          <w:rFonts w:ascii="Microsoft YaHei" w:hAnsi="Microsoft YaHei" w:eastAsia="Microsoft YaHei"/>
        </w:rPr>
        <w:t>现有隐私文案与实际相机权限、未来研究/商业用途不完全一致；必须重做数据地图、目的说明和同意机制。</w:t>
      </w:r>
    </w:p>
    <w:p>
      <w:pPr>
        <w:pStyle w:val="ListBullet"/>
      </w:pPr>
      <w:r>
        <w:rPr>
          <w:rFonts w:ascii="Microsoft YaHei" w:hAnsi="Microsoft YaHei" w:eastAsia="Microsoft YaHei"/>
        </w:rPr>
        <w:t>部分课程规则硬编码，不适合多校；必须配置化、租户化，并拆分大型模块。</w:t>
      </w:r>
    </w:p>
    <w:p>
      <w:pPr>
        <w:pStyle w:val="ListBullet"/>
      </w:pPr>
      <w:r>
        <w:rPr>
          <w:rFonts w:ascii="Microsoft YaHei" w:hAnsi="Microsoft YaHei" w:eastAsia="Microsoft YaHei"/>
        </w:rPr>
        <w:t>研究数据、日常运营数据、成绩数据必须隔离；科研参与不得与成绩或正常服务捆绑。</w:t>
      </w:r>
    </w:p>
    <w:p>
      <w:r>
        <w:br w:type="page"/>
      </w:r>
    </w:p>
    <w:p>
      <w:pPr>
        <w:pStyle w:val="Heading1"/>
      </w:pPr>
      <w:r>
        <w:t>3. 多因素推演：三条可能的路，为什么选择中间那条</w:t>
      </w:r>
    </w:p>
    <w:p>
      <w:r>
        <w:rPr>
          <w:rFonts w:ascii="Microsoft YaHei" w:hAnsi="Microsoft YaHei" w:eastAsia="Microsoft YaHei"/>
          <w:b w:val="0"/>
        </w:rPr>
        <w:t>推演同时考虑学生价值、学校付费意愿、差异化、政策资源、两年可行性、经常性收入与风险。内部评分只用于比较方向，不代表市场事实。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2300"/>
        <w:gridCol w:w="1950"/>
        <w:gridCol w:w="2300"/>
        <w:gridCol w:w="1210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16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情景</w:t>
            </w:r>
          </w:p>
        </w:tc>
        <w:tc>
          <w:tcPr>
            <w:tcW w:type="dxa" w:w="23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产品形态</w:t>
            </w:r>
          </w:p>
        </w:tc>
        <w:tc>
          <w:tcPr>
            <w:tcW w:type="dxa" w:w="19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优势</w:t>
            </w:r>
          </w:p>
        </w:tc>
        <w:tc>
          <w:tcPr>
            <w:tcW w:type="dxa" w:w="23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风险/天花板</w:t>
            </w:r>
          </w:p>
        </w:tc>
        <w:tc>
          <w:tcPr>
            <w:tcW w:type="dxa" w:w="12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结论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A 体育打卡2.0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打卡、审批、学时、成绩、通知、活动报名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最快落地，组织阻力较小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学生感知弱、价格天花板低、容易被校务系统替代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保底路径，不是创业终局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B Active Campus OS + Evidence Lab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活动、内容、实时场馆、运营、研究、开放接口</w:t>
            </w:r>
          </w:p>
        </w:tc>
        <w:tc>
          <w:tcPr>
            <w:tcW w:type="dxa" w:w="19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同时创造学生、学校、教师、科研和品牌价值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需要校级负责人、场馆授权、教师共建和伦理路径</w:t>
            </w:r>
          </w:p>
        </w:tc>
        <w:tc>
          <w:tcPr>
            <w:tcW w:type="dxa" w:w="1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推荐主路径：先做深一校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C 大湾区活力校园网络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多校SaaS、跨校研究、聚合基准、接口标准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规模、科研与政策影响力最高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采购、数据边界、硬件运维和组织协同复杂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B验证后的扩张形态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600"/>
        <w:gridCol w:w="1000"/>
        <w:gridCol w:w="1850"/>
        <w:gridCol w:w="1950"/>
        <w:gridCol w:w="1960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26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评价维度</w:t>
            </w:r>
          </w:p>
        </w:tc>
        <w:tc>
          <w:tcPr>
            <w:tcW w:type="dxa" w:w="10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18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</w:t>
            </w:r>
          </w:p>
        </w:tc>
        <w:tc>
          <w:tcPr>
            <w:tcW w:type="dxa" w:w="19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B</w:t>
            </w:r>
          </w:p>
        </w:tc>
        <w:tc>
          <w:tcPr>
            <w:tcW w:type="dxa" w:w="19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C（当前）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学生与学校价值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40%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差异化与政策资源</w:t>
            </w:r>
          </w:p>
        </w:tc>
        <w:tc>
          <w:tcPr>
            <w:tcW w:type="dxa" w:w="1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30%</w:t>
            </w:r>
          </w:p>
        </w:tc>
        <w:tc>
          <w:tcPr>
            <w:tcW w:type="dxa" w:w="1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低—中</w:t>
            </w:r>
          </w:p>
        </w:tc>
        <w:tc>
          <w:tcPr>
            <w:tcW w:type="dxa" w:w="19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19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两年可行性与风险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20%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中—高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低—中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经常性收入</w:t>
            </w:r>
          </w:p>
        </w:tc>
        <w:tc>
          <w:tcPr>
            <w:tcW w:type="dxa" w:w="1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10%</w:t>
            </w:r>
          </w:p>
        </w:tc>
        <w:tc>
          <w:tcPr>
            <w:tcW w:type="dxa" w:w="1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低</w:t>
            </w:r>
          </w:p>
        </w:tc>
        <w:tc>
          <w:tcPr>
            <w:tcW w:type="dxa" w:w="19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中—高</w:t>
            </w:r>
          </w:p>
        </w:tc>
        <w:tc>
          <w:tcPr>
            <w:tcW w:type="dxa" w:w="19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高但更远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内部综合分（约）</w:t>
            </w:r>
          </w:p>
        </w:tc>
        <w:tc>
          <w:tcPr>
            <w:tcW w:type="dxa" w:w="1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—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3.2/5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4.5/5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3.8/5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3FB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24F"/>
                <w:sz w:val="25"/>
              </w:rPr>
              <w:t>决策门槛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只有满足“2所付费学校 + 1次续费 + 第二校上线约8周 + 大部分功能可配置复用”后，才进入大湾区多校网络阶段。否则它仍是项目制咨询，而不是可复制产品。</w:t>
            </w:r>
          </w:p>
        </w:tc>
      </w:tr>
    </w:tbl>
    <w:p>
      <w:pPr>
        <w:spacing w:after="0"/>
      </w:pPr>
    </w:p>
    <w:p>
      <w:pPr>
        <w:pStyle w:val="Heading2"/>
      </w:pPr>
      <w:r>
        <w:t>明确放弃五条岔路</w:t>
      </w:r>
    </w:p>
    <w:p>
      <w:pPr>
        <w:pStyle w:val="ListBullet"/>
      </w:pPr>
      <w:r>
        <w:rPr>
          <w:rFonts w:ascii="Microsoft YaHei" w:hAnsi="Microsoft YaHei" w:eastAsia="Microsoft YaHei"/>
        </w:rPr>
        <w:t>不做纯C端健身内容平台：避免与Keep、SmartWorkout等通用平台正面竞争。</w:t>
      </w:r>
    </w:p>
    <w:p>
      <w:pPr>
        <w:pStyle w:val="ListBullet"/>
      </w:pPr>
      <w:r>
        <w:rPr>
          <w:rFonts w:ascii="Microsoft YaHei" w:hAnsi="Microsoft YaHei" w:eastAsia="Microsoft YaHei"/>
        </w:rPr>
        <w:t>不做校内交易抽佣平台：学校双边交易场景少、审批复杂、教育公平风险高。</w:t>
      </w:r>
    </w:p>
    <w:p>
      <w:pPr>
        <w:pStyle w:val="ListBullet"/>
      </w:pPr>
      <w:r>
        <w:rPr>
          <w:rFonts w:ascii="Microsoft YaHei" w:hAnsi="Microsoft YaHei" w:eastAsia="Microsoft YaHei"/>
        </w:rPr>
        <w:t>不做重资产硬件制造商：硬件交给深圳/珠三角合作伙伴，平台做接口、软件与质量标准。</w:t>
      </w:r>
    </w:p>
    <w:p>
      <w:pPr>
        <w:pStyle w:val="ListBullet"/>
      </w:pPr>
      <w:r>
        <w:rPr>
          <w:rFonts w:ascii="Microsoft YaHei" w:hAnsi="Microsoft YaHei" w:eastAsia="Microsoft YaHei"/>
        </w:rPr>
        <w:t>不独立做医疗诊断、数字疗法或运动处方：默认只做非医疗健康促进、风险提示与转介。</w:t>
      </w:r>
    </w:p>
    <w:p>
      <w:pPr>
        <w:pStyle w:val="ListBullet"/>
      </w:pPr>
      <w:r>
        <w:rPr>
          <w:rFonts w:ascii="Microsoft YaHei" w:hAnsi="Microsoft YaHei" w:eastAsia="Microsoft YaHei"/>
        </w:rPr>
        <w:t>不做更严的监控系统：北极星必须是自主运动，不是处罚率和打卡量。</w:t>
      </w:r>
    </w:p>
    <w:p>
      <w:pPr>
        <w:pStyle w:val="Heading1"/>
      </w:pPr>
      <w:r>
        <w:t>4. 推荐终局：Active Campus OS + Evidence Lab</w:t>
      </w:r>
    </w:p>
    <w:p>
      <w:pPr>
        <w:pStyle w:val="DeckQuote"/>
      </w:pPr>
      <w:r>
        <w:t>四个产品引擎：知识资产、校园活动、实时场馆、研究证据。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2850"/>
        <w:gridCol w:w="3250"/>
        <w:gridCol w:w="176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5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28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核心模块</w:t>
            </w:r>
          </w:p>
        </w:tc>
        <w:tc>
          <w:tcPr>
            <w:tcW w:type="dxa" w:w="32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首批能力</w:t>
            </w:r>
          </w:p>
        </w:tc>
        <w:tc>
          <w:tcPr>
            <w:tcW w:type="dxa" w:w="17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价值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学生体验层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活力首页、赛事活动、场馆状态、可信内容、30分钟计划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活动发现、报名、拥挤等级、教师内容、可选记录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降低运动决策成本，增强自驱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校园运营层</w:t>
            </w:r>
          </w:p>
        </w:tc>
        <w:tc>
          <w:tcPr>
            <w:tcW w:type="dxa" w:w="2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活动运营、容量管理、资源调度、内容管理</w:t>
            </w:r>
          </w:p>
        </w:tc>
        <w:tc>
          <w:tcPr>
            <w:tcW w:type="dxa" w:w="32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到场、峰谷、投诉、人工工时与运营看板</w:t>
            </w:r>
          </w:p>
        </w:tc>
        <w:tc>
          <w:tcPr>
            <w:tcW w:type="dxa" w:w="1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提升场馆与活动资源效率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知识/科研层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教师工作流、研究队列、去标识数据、效果报告</w:t>
            </w:r>
          </w:p>
        </w:tc>
        <w:tc>
          <w:tcPr>
            <w:tcW w:type="dxa" w:w="3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作者/版本/证据/禁忌/复审、知情同意、干预评估</w:t>
            </w:r>
          </w:p>
        </w:tc>
        <w:tc>
          <w:tcPr>
            <w:tcW w:type="dxa" w:w="1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沉淀校本资产与科研成果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技术与硬件层</w:t>
            </w:r>
          </w:p>
        </w:tc>
        <w:tc>
          <w:tcPr>
            <w:tcW w:type="dxa" w:w="2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SSO、权限、审计、IoT网关、开放API</w:t>
            </w:r>
          </w:p>
        </w:tc>
        <w:tc>
          <w:tcPr>
            <w:tcW w:type="dxa" w:w="32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门禁/红外/毫米波/器械接入，数据质量标记</w:t>
            </w:r>
          </w:p>
        </w:tc>
        <w:tc>
          <w:tcPr>
            <w:tcW w:type="dxa" w:w="1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标准化部署与跨校复制</w:t>
            </w:r>
          </w:p>
        </w:tc>
      </w:tr>
    </w:tbl>
    <w:p>
      <w:pPr>
        <w:pStyle w:val="Heading2"/>
      </w:pPr>
      <w:r>
        <w:t>四个增长飞轮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50"/>
        <w:gridCol w:w="7510"/>
      </w:tblGrid>
      <w:tr>
        <w:trPr>
          <w:tblHeader w:val="true"/>
          <w:cantSplit/>
          <w:cantSplit/>
        </w:trPr>
        <w:tc>
          <w:tcPr>
            <w:tcW w:type="dxa" w:w="18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飞轮</w:t>
            </w:r>
          </w:p>
        </w:tc>
        <w:tc>
          <w:tcPr>
            <w:tcW w:type="dxa" w:w="75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闭环</w:t>
            </w:r>
          </w:p>
        </w:tc>
      </w:tr>
      <w:tr>
        <w:trPr>
          <w:cantSplit/>
          <w:cantSplit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学生飞轮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可信内容 + 活动 + 人流信息 → 降低决策成本 → 更多自主运动 → 首页呈现真实活力 → 氛围更强</w:t>
            </w:r>
          </w:p>
        </w:tc>
      </w:tr>
      <w:tr>
        <w:trPr>
          <w:cantSplit/>
          <w:cantSplit/>
          <w:cantSplit/>
        </w:trPr>
        <w:tc>
          <w:tcPr>
            <w:tcW w:type="dxa" w:w="1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学校飞轮</w:t>
            </w:r>
          </w:p>
        </w:tc>
        <w:tc>
          <w:tcPr>
            <w:tcW w:type="dxa" w:w="7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使用数据 → 更好排课排场与活动运营 → 利用率/满意度提升 → 更多预算与资源开放</w:t>
            </w:r>
          </w:p>
        </w:tc>
      </w:tr>
      <w:tr>
        <w:trPr>
          <w:cantSplit/>
          <w:cantSplit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科研飞轮</w:t>
            </w:r>
          </w:p>
        </w:tc>
        <w:tc>
          <w:tcPr>
            <w:tcW w:type="dxa" w:w="7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伦理批准的干预 → 结果证据 → 论文/白皮书/政策建议 → 更多教师与样本 → 产品优化</w:t>
            </w:r>
          </w:p>
        </w:tc>
      </w:tr>
      <w:tr>
        <w:trPr>
          <w:cantSplit/>
          <w:cantSplit/>
          <w:cantSplit/>
        </w:trPr>
        <w:tc>
          <w:tcPr>
            <w:tcW w:type="dxa" w:w="1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商业飞轮</w:t>
            </w:r>
          </w:p>
        </w:tc>
        <w:tc>
          <w:tcPr>
            <w:tcW w:type="dxa" w:w="7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BNBU成效 → 竞赛/论坛传播 → 正式采购 → 第二校验证 → 部署成本下降 → 经常性收入</w:t>
            </w:r>
          </w:p>
        </w:tc>
      </w:tr>
    </w:tbl>
    <w:p>
      <w:pPr>
        <w:pStyle w:val="Heading2"/>
      </w:pPr>
      <w:r>
        <w:t>北极星指标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3FB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24F"/>
                <w:sz w:val="25"/>
              </w:rPr>
              <w:t>Weekly Self-directed Active Students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每周通过平台完成至少一次非强制运动行为的学生数。配套观察活动曝光→报名→到场、计划开始→完成→复用、场馆状态准确率/新鲜度、峰值负荷分散、自我效能、投诉与人工工时、学校续费。</w:t>
            </w:r>
          </w:p>
        </w:tc>
      </w:tr>
    </w:tbl>
    <w:p>
      <w:pPr>
        <w:spacing w:after="0"/>
      </w:pPr>
    </w:p>
    <w:p>
      <w:pPr>
        <w:pStyle w:val="Heading1"/>
      </w:pPr>
      <w:r>
        <w:t>5. 谁得到价值：学生、教师、学校、研究者和合作方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20"/>
        <w:gridCol w:w="2400"/>
        <w:gridCol w:w="3200"/>
        <w:gridCol w:w="244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32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4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今天的痛点</w:t>
            </w:r>
          </w:p>
        </w:tc>
        <w:tc>
          <w:tcPr>
            <w:tcW w:type="dxa" w:w="32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平台提供</w:t>
            </w:r>
          </w:p>
        </w:tc>
        <w:tc>
          <w:tcPr>
            <w:tcW w:type="dxa" w:w="244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可验证结果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学生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活动分散、不会练、怕拥挤、被动完成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一站式发现、可信计划、实时状态、选择自由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自主参与、到场率、计划完成、体验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教师</w:t>
            </w:r>
          </w:p>
        </w:tc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知识散落、难复用、贡献难署名</w:t>
            </w:r>
          </w:p>
        </w:tc>
        <w:tc>
          <w:tcPr>
            <w:tcW w:type="dxa" w:w="3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作者/版本/证据/审核/反馈工作流</w:t>
            </w:r>
          </w:p>
        </w:tc>
        <w:tc>
          <w:tcPr>
            <w:tcW w:type="dxa" w:w="244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知识单元、复审率、使用反馈、署名成果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学校管理者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信息割裂、场馆混乱、难证明成效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运营看板、容量管理、报告与决策证据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资源效率、满意度、安全、预算依据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2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研究者</w:t>
            </w:r>
          </w:p>
        </w:tc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招募、同意、数据清洗和复现实验成本高</w:t>
            </w:r>
          </w:p>
        </w:tc>
        <w:tc>
          <w:tcPr>
            <w:tcW w:type="dxa" w:w="3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伦理友好的队列、干预、去标识数据与报告</w:t>
            </w:r>
          </w:p>
        </w:tc>
        <w:tc>
          <w:tcPr>
            <w:tcW w:type="dxa" w:w="244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预注册研究、效应量、论文/白皮书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硬件/内容伙伴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单点设备难进入校园工作流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统一接入、认证、联合交付</w:t>
            </w:r>
          </w:p>
        </w:tc>
        <w:tc>
          <w:tcPr>
            <w:tcW w:type="dxa" w:w="2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部署周期、SLA、续费与复用</w:t>
            </w:r>
          </w:p>
        </w:tc>
      </w:tr>
    </w:tbl>
    <w:p>
      <w:pPr>
        <w:pStyle w:val="Heading1"/>
      </w:pPr>
      <w:r>
        <w:t>6. 一套核心能力，如何迁移到新的业务</w:t>
      </w:r>
    </w:p>
    <w:p>
      <w:r>
        <w:rPr>
          <w:rFonts w:ascii="Microsoft YaHei" w:hAnsi="Microsoft YaHei" w:eastAsia="Microsoft YaHei"/>
          <w:b w:val="0"/>
        </w:rPr>
        <w:t>真正值得迁移的不是某个打卡页面，而是八类能力：行为激励、可信内容治理、活动运营、实时空间感知、IoT集成、数据治理、科研评价、多租户校园部署。迁移要按“邻近度×政策匹配×责任风险×买单清晰度”排序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50"/>
        <w:gridCol w:w="2200"/>
        <w:gridCol w:w="1400"/>
        <w:gridCol w:w="1900"/>
        <w:gridCol w:w="2110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17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业务方向</w:t>
            </w:r>
          </w:p>
        </w:tc>
        <w:tc>
          <w:tcPr>
            <w:tcW w:type="dxa" w:w="22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可复用能力</w:t>
            </w:r>
          </w:p>
        </w:tc>
        <w:tc>
          <w:tcPr>
            <w:tcW w:type="dxa" w:w="14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19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买单方</w:t>
            </w:r>
          </w:p>
        </w:tc>
        <w:tc>
          <w:tcPr>
            <w:tcW w:type="dxa" w:w="21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5"/>
              </w:rPr>
              <w:t>门槛/边界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高校Active Campus OS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全部核心能力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现在：0—18个月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高校体育/全人教育/学工/信息化/科研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校级Sponsor、预算Owner、场馆授权、伦理路径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校园智慧场馆</w:t>
            </w:r>
          </w:p>
        </w:tc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实时人数、预测、预约、IoT网关、运营报表</w:t>
            </w:r>
          </w:p>
        </w:tc>
        <w:tc>
          <w:tcPr>
            <w:tcW w:type="dxa" w:w="1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现在并行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学校/场馆运营方</w:t>
            </w:r>
          </w:p>
        </w:tc>
        <w:tc>
          <w:tcPr>
            <w:tcW w:type="dxa" w:w="21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硬件合作、准确率、在线率、SLA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运动健康知识资产与评估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内容治理、证据分级、研究仪表盘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现在并行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学校/研究项目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专家编委会、IP、复审责任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公共场馆/社区全民健身OS</w:t>
            </w:r>
          </w:p>
        </w:tc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场馆、活动、运动码映射、运营分析</w:t>
            </w:r>
          </w:p>
        </w:tc>
        <w:tc>
          <w:tcPr>
            <w:tcW w:type="dxa" w:w="1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中期：18—36个月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公共场馆、运营公司、政府采购</w:t>
            </w:r>
          </w:p>
        </w:tc>
        <w:tc>
          <w:tcPr>
            <w:tcW w:type="dxa" w:w="21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公益绩效、安全、采购与系统集成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K12“五健”非医疗促进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行为激励、科普、家校协同、聚合分析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中期且伙伴式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学校/教育或卫生项目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监护人同意、儿童规则、医疗转介、不自动贴标签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企业职工主动健康</w:t>
            </w:r>
          </w:p>
        </w:tc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自愿挑战、久坐干预、聚合报表</w:t>
            </w:r>
          </w:p>
        </w:tc>
        <w:tc>
          <w:tcPr>
            <w:tcW w:type="dxa" w:w="1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中期小规模验证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企业/工会</w:t>
            </w:r>
          </w:p>
        </w:tc>
        <w:tc>
          <w:tcPr>
            <w:tcW w:type="dxa" w:w="21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雇主只看聚合数据，不用于绩效/招聘/保险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老年主动健康/防跌倒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内容、筛查、设备接入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后期：36个月后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社区卫生/康养机构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适老化、运动安全、专业人员与转诊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医疗运动处方/康复</w:t>
            </w:r>
          </w:p>
        </w:tc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部分研究与设备能力</w:t>
            </w:r>
          </w:p>
        </w:tc>
        <w:tc>
          <w:tcPr>
            <w:tcW w:type="dxa" w:w="1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仅合作进入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医疗机构</w:t>
            </w:r>
          </w:p>
        </w:tc>
        <w:tc>
          <w:tcPr>
            <w:tcW w:type="dxa" w:w="21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不能独立诊疗；资质、器械属性和临床责任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5"/>
              </w:rPr>
              <w:t>赛事+文旅/城市活动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活动运营、客流与风险数据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机会式，不做主线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城市/景区/赛事运营方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5"/>
              </w:rPr>
              <w:t>竞争拥挤，仅在有强伙伴和订单时进入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7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E98A3A"/>
                <w:sz w:val="25"/>
              </w:rPr>
              <w:t>迁移排序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近期做深“高校 + 校园场馆 + 研究证据”；中期复制到“公共场馆/社区 + K12伙伴项目 + 企业健康”；老人和医疗只与专业机构合作进入。数据交易、黑箱评分、自产可穿戴和按成绩/免修抽佣不做。</w:t>
            </w:r>
          </w:p>
        </w:tc>
      </w:tr>
    </w:tbl>
    <w:p>
      <w:pPr>
        <w:spacing w:after="0"/>
      </w:pPr>
    </w:p>
    <w:p>
      <w:pPr>
        <w:pStyle w:val="Heading1"/>
      </w:pPr>
      <w:r>
        <w:t>7. 最新中国国家政策：政策写了什么，背后的深意是什么</w:t>
      </w:r>
    </w:p>
    <w:p>
      <w:r>
        <w:rPr>
          <w:rFonts w:ascii="Microsoft YaHei" w:hAnsi="Microsoft YaHei" w:eastAsia="Microsoft YaHei"/>
          <w:b w:val="0"/>
        </w:rPr>
        <w:t>以下判断以截至2026年7月14日可核验的中央一手文件为准。政策是方向、边界与应用场景，不等于本项目已获支持、必然有补贴或拥有申报资格。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2300"/>
        <w:gridCol w:w="2050"/>
        <w:gridCol w:w="1700"/>
        <w:gridCol w:w="1710"/>
      </w:tblGrid>
      <w:tr>
        <w:trPr>
          <w:tblHeader w:val="true"/>
          <w:cantSplit/>
          <w:cantSplit/>
          <w:cantSplit/>
          <w:cantSplit/>
          <w:cantSplit/>
        </w:trPr>
        <w:tc>
          <w:tcPr>
            <w:tcW w:type="dxa" w:w="16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政策/时间</w:t>
            </w:r>
          </w:p>
        </w:tc>
        <w:tc>
          <w:tcPr>
            <w:tcW w:type="dxa" w:w="23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核心导向</w:t>
            </w:r>
          </w:p>
        </w:tc>
        <w:tc>
          <w:tcPr>
            <w:tcW w:type="dxa" w:w="20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背后深意</w:t>
            </w:r>
          </w:p>
        </w:tc>
        <w:tc>
          <w:tcPr>
            <w:tcW w:type="dxa" w:w="17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主要影响对象</w:t>
            </w:r>
          </w:p>
        </w:tc>
        <w:tc>
          <w:tcPr>
            <w:tcW w:type="dxa" w:w="17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4"/>
              </w:rPr>
              <w:t>本项目响应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“十五五”规划纲要</w:t>
              <w:br/>
              <w:t>2026-03-12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健康优先、青少年健身、全民健身公共服务、体育科技与产品服务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体育既是公共服务，也是人的发展与新消费；必须可衡量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各级政府、学校、场馆、科技企业、居民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用持续参与、资源效率、健康证据替代打卡量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国民健康“十五五”规划</w:t>
              <w:br/>
              <w:t>2026-07-13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从治病中心转向健康中心；主动健康、全生命周期、数智化、隐私安全</w:t>
            </w:r>
          </w:p>
        </w:tc>
        <w:tc>
          <w:tcPr>
            <w:tcW w:type="dxa" w:w="20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价值链前移到疾病发生之前，非医疗运动健康促进成为前端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卫健、学校、社区、企业、养老机构、居民</w:t>
            </w:r>
          </w:p>
        </w:tc>
        <w:tc>
          <w:tcPr>
            <w:tcW w:type="dxa" w:w="1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校园先验证，再迁移；个人健康数据不商业化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体育强国建设“十五五”批复</w:t>
              <w:br/>
              <w:t>2026-07-02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全民健身、青少年体育、产业提质、支撑能力、动态评估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硬件与活动本身不是成效，社会价值和产业可持续要同时证明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体育系统、地方政府、学校、场馆/赛事/科技企业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建立可审计指标、满意度、复用与续费证据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教育发展“十五五”规划</w:t>
              <w:br/>
              <w:t>2026-06-29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健康学校、学生体质强健、比赛与技能、教育数智化、标准规范</w:t>
            </w:r>
          </w:p>
        </w:tc>
        <w:tc>
          <w:tcPr>
            <w:tcW w:type="dxa" w:w="20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健康成为办学治理任务；AI与数据要服务人的发展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教育部门、学校、教师、学生、教育科技企业</w:t>
            </w:r>
          </w:p>
        </w:tc>
        <w:tc>
          <w:tcPr>
            <w:tcW w:type="dxa" w:w="1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做一校一策的治理与服务底座，不做监控工具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学生体质强健计划</w:t>
              <w:br/>
              <w:t>2025-11-19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参与、习惯、技能、体质共同评价；数字画像、精准干预、智慧场馆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从抓达标转向过程+结果、活动+文化的闭环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学校领导、体育教师、学工、学生、家长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打卡降级为证据入口，活动/内容/场馆升级为主体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健康学校建设指导意见</w:t>
              <w:br/>
              <w:t>2026-02-27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身心一体、源头预防、系统治理、多方协同、纳入督导评价</w:t>
            </w:r>
          </w:p>
        </w:tc>
        <w:tc>
          <w:tcPr>
            <w:tcW w:type="dxa" w:w="20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学校健康从单部门事务转为办学治校系统能力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教育、公安、卫健、市场监管、体育、学校家庭</w:t>
            </w:r>
          </w:p>
        </w:tc>
        <w:tc>
          <w:tcPr>
            <w:tcW w:type="dxa" w:w="1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提供跨部门看板、治理流程与特色育人场景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儿童青少年“五健”</w:t>
              <w:br/>
              <w:t>2026—2030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体重、视力、心理、骨骼、口腔；医校协同、卫体融合、家校共育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K12空间大但责任更重，不能把大学App直接下沉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儿童、家长、学校、医疗疾控、体育部门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只做非医疗促进和转介支持，监护人同意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“人工智能+教育”行动计划</w:t>
              <w:br/>
              <w:t>2026-04-10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AI赋能体育、档案、全过程评价、治理和研究；安全审核与风险预警</w:t>
            </w:r>
          </w:p>
        </w:tc>
        <w:tc>
          <w:tcPr>
            <w:tcW w:type="dxa" w:w="20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AI应辅助教师和配置资源，不能黑箱替代人的决定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学校、师生、主管部门、AI/软件企业</w:t>
            </w:r>
          </w:p>
        </w:tc>
        <w:tc>
          <w:tcPr>
            <w:tcW w:type="dxa" w:w="1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先做检索、提示、预测和分析；高影响决定人工复核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运动促进健康指导意见</w:t>
              <w:br/>
              <w:t>2025-09-11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非医疗干预，“测—评—导—练”闭环，数字档案，全人群全周期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可迁移的核心是行为—知识—反馈—证据引擎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体育/卫健/教育/民政、场馆、社区、企业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作为校园外扩张主政策锚，守住非医疗边界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全民健身运动码标准</w:t>
              <w:br/>
              <w:t>2026-09-15实施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统一参考模型、数据格式与API，覆盖人、场地、赛事、器材、培训</w:t>
            </w:r>
          </w:p>
        </w:tc>
        <w:tc>
          <w:tcPr>
            <w:tcW w:type="dxa" w:w="20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体育数字服务从孤岛走向互联互通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体育部门、场馆、赛事/培训/设备平台</w:t>
            </w:r>
          </w:p>
        </w:tc>
        <w:tc>
          <w:tcPr>
            <w:tcW w:type="dxa" w:w="1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现在完成数据字典与接口映射，避免私有锁定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体育产业高质量发展意见</w:t>
              <w:br/>
              <w:t>2025-09-04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释放体育消费、丰富赛事与产品、提升产业竞争力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公益体育与市场化服务并行，供给质量和体验决定消费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体育企业、赛事/场馆、消费者、地方政府</w:t>
            </w:r>
          </w:p>
        </w:tc>
        <w:tc>
          <w:tcPr>
            <w:tcW w:type="dxa" w:w="1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用活动与场馆服务创造需求，但不将学生成绩商业化</w:t>
            </w:r>
          </w:p>
        </w:tc>
      </w:tr>
      <w:tr>
        <w:trPr>
          <w:cantSplit/>
          <w:cantSplit/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4"/>
              </w:rPr>
              <w:t>智能体育典型案例征集</w:t>
              <w:br/>
              <w:t>2026-05-28</w:t>
            </w:r>
          </w:p>
        </w:tc>
        <w:tc>
          <w:tcPr>
            <w:tcW w:type="dxa" w:w="2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智慧校园、智慧场馆、健康平台、体育数字底座；要求已有成效、可推广</w:t>
            </w:r>
          </w:p>
        </w:tc>
        <w:tc>
          <w:tcPr>
            <w:tcW w:type="dxa" w:w="20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国家筛选真实应用，不是给概念项目普发补贴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法人主体、学校/科研院所、地方体育和工信部门</w:t>
            </w:r>
          </w:p>
        </w:tc>
        <w:tc>
          <w:tcPr>
            <w:tcW w:type="dxa" w:w="1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4"/>
              </w:rPr>
              <w:t>先做试点、量化成效和联合体资格，再申报</w:t>
            </w:r>
          </w:p>
        </w:tc>
      </w:tr>
    </w:tbl>
    <w:p>
      <w:pPr>
        <w:pStyle w:val="Heading1"/>
      </w:pPr>
      <w:r>
        <w:t>8. 政策共同释放的五个信号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</w:rPr>
        <w:t>从“是否完成”到“是否形成习惯、是否真正改善”：打卡只是一条证据，不是价值本身。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</w:rPr>
        <w:t>从“体育部门项目”到“教育—体育—卫健—数据协同”：客户通常不止一个部门，产品必须支持分权治理和多预算主体。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</w:rPr>
        <w:t>从“买设备”到“买服务效果”：场馆利用率、持续参与率、满意度、风险事件、健康结果和科研证据决定续费。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</w:rPr>
        <w:t>从“校内孤岛”到“标准化数字底座”：人、活动、场馆、器材、内容和健康数据要有统一字典、接口、时间戳与来源。</w:t>
      </w:r>
    </w:p>
    <w:p>
      <w:pPr>
        <w:pStyle w:val="ListNumber"/>
        <w:numPr>
          <w:ilvl w:val="0"/>
          <w:numId w:val="11"/>
        </w:numPr>
      </w:pPr>
      <w:r>
        <w:rPr>
          <w:rFonts w:ascii="Microsoft YaHei" w:hAnsi="Microsoft YaHei" w:eastAsia="Microsoft YaHei"/>
        </w:rPr>
        <w:t>从“技术炫技”到“可信AI”：AI必须可解释、可复核、可申诉、可退出，不能单独决定成绩、纪律或医疗结论。</w:t>
      </w:r>
    </w:p>
    <w:p>
      <w:pPr>
        <w:pStyle w:val="Heading2"/>
      </w:pPr>
      <w:r>
        <w:t>政策最终会影响哪些人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3650"/>
        <w:gridCol w:w="3810"/>
      </w:tblGrid>
      <w:tr>
        <w:trPr>
          <w:tblHeader w:val="true"/>
          <w:cantSplit/>
          <w:cantSplit/>
          <w:cantSplit/>
        </w:trPr>
        <w:tc>
          <w:tcPr>
            <w:tcW w:type="dxa" w:w="19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人/机构</w:t>
            </w:r>
          </w:p>
        </w:tc>
        <w:tc>
          <w:tcPr>
            <w:tcW w:type="dxa" w:w="36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最直接变化</w:t>
            </w:r>
          </w:p>
        </w:tc>
        <w:tc>
          <w:tcPr>
            <w:tcW w:type="dxa" w:w="38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平台应承担的责任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学生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从完成任务走向习惯、技能、体验与健康素养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选择自由、无硬件等价路径、解释与申诉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教师/教练</w:t>
            </w:r>
          </w:p>
        </w:tc>
        <w:tc>
          <w:tcPr>
            <w:tcW w:type="dxa" w:w="36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从授课者变为内容作者、干预设计者与证据共建者</w:t>
            </w:r>
          </w:p>
        </w:tc>
        <w:tc>
          <w:tcPr>
            <w:tcW w:type="dxa" w:w="38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署名、版本、审核、工作量与IP机制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学校管理者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健康学校和体质提升进入治理与评价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跨部门看板、数据质量、采购成效与风险控制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场馆运营者</w:t>
            </w:r>
          </w:p>
        </w:tc>
        <w:tc>
          <w:tcPr>
            <w:tcW w:type="dxa" w:w="36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从被动开放转向数据驱动的预约、调度与服务</w:t>
            </w:r>
          </w:p>
        </w:tc>
        <w:tc>
          <w:tcPr>
            <w:tcW w:type="dxa" w:w="38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准确率、更新时间、SLA与事故责任边界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家长/未成年人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五健与家校共育强化，但隐私和标签风险上升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监护人规则、最小化采集、专业转介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政府/公共机构</w:t>
            </w:r>
          </w:p>
        </w:tc>
        <w:tc>
          <w:tcPr>
            <w:tcW w:type="dxa" w:w="36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更重视普惠性、满意度、绩效与标准互联</w:t>
            </w:r>
          </w:p>
        </w:tc>
        <w:tc>
          <w:tcPr>
            <w:tcW w:type="dxa" w:w="38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公开方法、可审计指标、避免供应商锁定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企业/技术伙伴</w:t>
            </w:r>
          </w:p>
        </w:tc>
        <w:tc>
          <w:tcPr>
            <w:tcW w:type="dxa" w:w="3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场景机会增加，但准入、标准、安全与实效要求更高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共同交付、利益冲突披露、不得取得个体健康数据</w:t>
            </w:r>
          </w:p>
        </w:tc>
      </w:tr>
    </w:tbl>
    <w:p>
      <w:pPr>
        <w:pStyle w:val="Heading1"/>
      </w:pPr>
      <w:r>
        <w:t>9. 我们能为国家做什么：用可审计承诺替代口号</w:t>
      </w:r>
    </w:p>
    <w:p>
      <w:r>
        <w:rPr>
          <w:rFonts w:ascii="Microsoft YaHei" w:hAnsi="Microsoft YaHei" w:eastAsia="Microsoft YaHei"/>
          <w:b w:val="0"/>
        </w:rPr>
        <w:t>以下是建议目标和继续投入阈值，不是当前成绩。它们可以作为校级立项书、竞赛材料与未来采购验收的共同骨架。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150"/>
        <w:gridCol w:w="4300"/>
        <w:gridCol w:w="2910"/>
      </w:tblGrid>
      <w:tr>
        <w:trPr>
          <w:tblHeader w:val="true"/>
          <w:cantSplit/>
          <w:cantSplit/>
          <w:cantSplit/>
        </w:trPr>
        <w:tc>
          <w:tcPr>
            <w:tcW w:type="dxa" w:w="21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国家价值</w:t>
            </w:r>
          </w:p>
        </w:tc>
        <w:tc>
          <w:tcPr>
            <w:tcW w:type="dxa" w:w="43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建议可审计承诺</w:t>
            </w:r>
          </w:p>
        </w:tc>
        <w:tc>
          <w:tcPr>
            <w:tcW w:type="dxa" w:w="29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对应项目产物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把被动打卡变成主动参与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每个试点预注册12周干预；自愿每周持续运动参与率较基线提升≥10个百分点作为继续投入阈值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活力首页、活动/内容/人流实验与效果报告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沉淀科学知识公共资产</w:t>
            </w:r>
          </w:p>
        </w:tc>
        <w:tc>
          <w:tcPr>
            <w:tcW w:type="dxa" w:w="4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首年≥100条教师审核知识单元；100%标作者、证据、适用人群、风险提示和复审日期</w:t>
            </w:r>
          </w:p>
        </w:tc>
        <w:tc>
          <w:tcPr>
            <w:tcW w:type="dxa" w:w="2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校本知识库与内容治理规范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提高体育资源效率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场馆状态刷新≤60秒；公开峰谷和等待体验；以无效到访/因拥挤放弃下降20%作为试点目标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人流接口、运营看板与调度报告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为“一校一策”提供证据</w:t>
            </w:r>
          </w:p>
        </w:tc>
        <w:tc>
          <w:tcPr>
            <w:tcW w:type="dxa" w:w="4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每学年≥1项伦理审查、预注册干预；每学期提交含负面结果的治理报告</w:t>
            </w:r>
          </w:p>
        </w:tc>
        <w:tc>
          <w:tcPr>
            <w:tcW w:type="dxa" w:w="2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Evidence Lab、匿名汇总、年度活力校园报告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支持标准互联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扩校前完成TY/T 1010—1012差距分析；活动/场馆/设备数据具备来源、时间戳和质量标记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标准映射、开放适配器与实施指南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培养复合型青年人才</w:t>
            </w:r>
          </w:p>
        </w:tc>
        <w:tc>
          <w:tcPr>
            <w:tcW w:type="dxa" w:w="4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每校每年培养30—50名运动领袖、活动运营员和数据治理志愿者</w:t>
            </w:r>
          </w:p>
        </w:tc>
        <w:tc>
          <w:tcPr>
            <w:tcW w:type="dxa" w:w="2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实践课程、学生组织与项目作品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守住可信数字健康底线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敏感字段100%入数据清单；核心服务无付费门槛；可识别学生数据跨境为0；不售个人数据</w:t>
            </w:r>
          </w:p>
        </w:tc>
        <w:tc>
          <w:tcPr>
            <w:tcW w:type="dxa" w:w="2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影响评估、权限、审计、境内部署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1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按证据扩张</w:t>
            </w:r>
          </w:p>
        </w:tc>
        <w:tc>
          <w:tcPr>
            <w:tcW w:type="dxa" w:w="4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连续两个学期达到参与、满意度、安全和数据治理门槛，并确认年度预算Owner后才扩到3—5校</w:t>
            </w:r>
          </w:p>
        </w:tc>
        <w:tc>
          <w:tcPr>
            <w:tcW w:type="dxa" w:w="29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采购案例、续费与第二校部署证据</w:t>
            </w:r>
          </w:p>
        </w:tc>
      </w:tr>
    </w:tbl>
    <w:p>
      <w:pPr>
        <w:pStyle w:val="Heading1"/>
      </w:pPr>
      <w:r>
        <w:t>10. 硬件路线：先证明信息有用，再增加传感器</w:t>
      </w:r>
    </w:p>
    <w:p>
      <w:r>
        <w:rPr>
          <w:rFonts w:ascii="Microsoft YaHei" w:hAnsi="Microsoft YaHei" w:eastAsia="Microsoft YaHei"/>
          <w:b w:val="0"/>
        </w:rPr>
        <w:t>硬件应是可插拔的场景感知层，不是公司的身份。平台制定接口、精度、新鲜度、安全与运维标准；供应商负责制造、安装与现场维护。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350"/>
        <w:gridCol w:w="3460"/>
        <w:gridCol w:w="175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8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数据来源</w:t>
            </w:r>
          </w:p>
        </w:tc>
        <w:tc>
          <w:tcPr>
            <w:tcW w:type="dxa" w:w="34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验证问题</w:t>
            </w:r>
          </w:p>
        </w:tc>
        <w:tc>
          <w:tcPr>
            <w:tcW w:type="dxa" w:w="17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是否扩张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0 门禁/预约/课表汇总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现有系统与人工抽样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学生是否真的会因实时状态改变到访时间？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先做；成本最低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1 非人脸区域传感</w:t>
            </w:r>
          </w:p>
        </w:tc>
        <w:tc>
          <w:tcPr>
            <w:tcW w:type="dxa" w:w="2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红外、毫米波、出入口计数</w:t>
            </w:r>
          </w:p>
        </w:tc>
        <w:tc>
          <w:tcPr>
            <w:tcW w:type="dxa" w:w="34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拥挤等级准确率和在线率是否达标？</w:t>
            </w:r>
          </w:p>
        </w:tc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门禁不足时局部部署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2 预测层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历史人流、排课、活动、天气等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能否提前提示并分散峰值？</w:t>
            </w:r>
          </w:p>
        </w:tc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有连续数据后做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3 器械占用</w:t>
            </w:r>
          </w:p>
        </w:tc>
        <w:tc>
          <w:tcPr>
            <w:tcW w:type="dxa" w:w="2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设备传感或合作厂商接口</w:t>
            </w:r>
          </w:p>
        </w:tc>
        <w:tc>
          <w:tcPr>
            <w:tcW w:type="dxa" w:w="34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单器械信息是否有额外管理/学生价值？</w:t>
            </w:r>
          </w:p>
        </w:tc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仅高价值区域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3E7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E98A3A"/>
                <w:sz w:val="25"/>
              </w:rPr>
              <w:t>硬件过关线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两轮迭代后，若拥挤等级准确率仍低于约85%、在线率低于约95%，或部署维护成本显著高于管理价值，则停止自研，改接第三方或只用门禁/预约数据。上述为内部管理假设，需在试点校准。</w:t>
            </w:r>
          </w:p>
        </w:tc>
      </w:tr>
    </w:tbl>
    <w:p>
      <w:pPr>
        <w:spacing w:after="0"/>
      </w:pPr>
    </w:p>
    <w:p>
      <w:pPr>
        <w:pStyle w:val="Heading2"/>
      </w:pPr>
      <w:r>
        <w:t>隐私优先的场馆原则</w:t>
      </w:r>
    </w:p>
    <w:p>
      <w:pPr>
        <w:pStyle w:val="ListBullet"/>
      </w:pPr>
      <w:r>
        <w:rPr>
          <w:rFonts w:ascii="Microsoft YaHei" w:hAnsi="Microsoft YaHei" w:eastAsia="Microsoft YaHei"/>
        </w:rPr>
        <w:t>默认不使用人脸识别；有等效非人脸方案时，不把人脸作为唯一方式。</w:t>
      </w:r>
    </w:p>
    <w:p>
      <w:pPr>
        <w:pStyle w:val="ListBullet"/>
      </w:pPr>
      <w:r>
        <w:rPr>
          <w:rFonts w:ascii="Microsoft YaHei" w:hAnsi="Microsoft YaHei" w:eastAsia="Microsoft YaHei"/>
        </w:rPr>
        <w:t>向学生展示的是分区拥挤等级或聚合人数，不展示个体轨迹。</w:t>
      </w:r>
    </w:p>
    <w:p>
      <w:pPr>
        <w:pStyle w:val="ListBullet"/>
      </w:pPr>
      <w:r>
        <w:rPr>
          <w:rFonts w:ascii="Microsoft YaHei" w:hAnsi="Microsoft YaHei" w:eastAsia="Microsoft YaHei"/>
        </w:rPr>
        <w:t>清楚标注数据更新时间、误差与不可用于安全承载量判断的限制。</w:t>
      </w:r>
    </w:p>
    <w:p>
      <w:pPr>
        <w:pStyle w:val="ListBullet"/>
      </w:pPr>
      <w:r>
        <w:rPr>
          <w:rFonts w:ascii="Microsoft YaHei" w:hAnsi="Microsoft YaHei" w:eastAsia="Microsoft YaHei"/>
        </w:rPr>
        <w:t>设备故障、网络安全、维修响应和事故责任写入合作合同与SLA。</w:t>
      </w:r>
    </w:p>
    <w:p>
      <w:pPr>
        <w:pStyle w:val="Heading1"/>
      </w:pPr>
      <w:r>
        <w:t>11. 知识资产与Evidence Lab：项目真正的护城河</w:t>
      </w:r>
    </w:p>
    <w:p>
      <w:r>
        <w:rPr>
          <w:rFonts w:ascii="Microsoft YaHei" w:hAnsi="Microsoft YaHei" w:eastAsia="Microsoft YaHei"/>
          <w:b w:val="0"/>
        </w:rPr>
        <w:t>SmartWorkout等产品提供了训练内容与进度追踪的产品参照，但BNBU不应复制一个通用健身内容库。差异化在于“校内教师可信内容 + 校园工作流 + 可验证干预 + 学校治理报告”。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  <w:cantSplit/>
          <w:cantSplit/>
        </w:trPr>
        <w:tc>
          <w:tcPr>
            <w:tcW w:type="dxa" w:w="468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知识单元必须包含</w:t>
            </w:r>
          </w:p>
        </w:tc>
        <w:tc>
          <w:tcPr>
            <w:tcW w:type="dxa" w:w="468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研究空间必须包含</w:t>
            </w:r>
          </w:p>
        </w:tc>
      </w:tr>
      <w:tr>
        <w:trPr>
          <w:cantSplit/>
          <w:cantSplit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作者、专业角色、版本与复审日期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独立的知情同意、退出与招募机制</w:t>
            </w:r>
          </w:p>
        </w:tc>
      </w:tr>
      <w:tr>
        <w:trPr>
          <w:cantSplit/>
          <w:cantSplit/>
          <w:cantSplit/>
        </w:trPr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适用人群、难度、目标与所需器材</w:t>
            </w:r>
          </w:p>
        </w:tc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研究队列与日常运营数据隔离</w:t>
            </w:r>
          </w:p>
        </w:tc>
      </w:tr>
      <w:tr>
        <w:trPr>
          <w:cantSplit/>
          <w:cantSplit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禁忌/风险提示与非医疗声明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去标识、最小化字段、访问审批与审计</w:t>
            </w:r>
          </w:p>
        </w:tc>
      </w:tr>
      <w:tr>
        <w:trPr>
          <w:cantSplit/>
          <w:cantSplit/>
          <w:cantSplit/>
        </w:trPr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证据来源、内容授权和引用方式</w:t>
            </w:r>
          </w:p>
        </w:tc>
        <w:tc>
          <w:tcPr>
            <w:tcW w:type="dxa" w:w="468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预注册干预、对照/准实验、效应量与负面结果</w:t>
            </w:r>
          </w:p>
        </w:tc>
      </w:tr>
      <w:tr>
        <w:trPr>
          <w:cantSplit/>
          <w:cantSplit/>
          <w:cantSplit/>
        </w:trPr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学生反馈、使用效果和迭代记录</w:t>
            </w:r>
          </w:p>
        </w:tc>
        <w:tc>
          <w:tcPr>
            <w:tcW w:type="dxa" w:w="46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可复现报告、匿名汇总与数据保留/删除策略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建议首轮研究问题：活力首页能否提高活动触达与到场？实时拥挤信息能否减少无效到访并促进错峰？教师认证的30分钟计划能否提高自主运动自我效能和计划复用？三者应分别验证，避免一次上线太多变量后无法解释。</w:t>
      </w:r>
    </w:p>
    <w:p>
      <w:pPr>
        <w:pStyle w:val="Heading1"/>
      </w:pPr>
      <w:r>
        <w:t>12. 商业化：资源是加速器，真实收入来自采购与续费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3FB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24F"/>
                <w:sz w:val="25"/>
              </w:rPr>
              <w:t>商业模型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学生免费使用；学校、场馆或研究项目购买持续服务。政策、比赛、补助、捐赠和企业赞助可以降低早期成本，但不能计入经常性收入，也不能被写成已获得支持。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850"/>
        <w:gridCol w:w="3000"/>
        <w:gridCol w:w="1800"/>
        <w:gridCol w:w="271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8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收入项</w:t>
            </w:r>
          </w:p>
        </w:tc>
        <w:tc>
          <w:tcPr>
            <w:tcW w:type="dxa" w:w="30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付费内容</w:t>
            </w:r>
          </w:p>
        </w:tc>
        <w:tc>
          <w:tcPr>
            <w:tcW w:type="dxa" w:w="18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性质</w:t>
            </w:r>
          </w:p>
        </w:tc>
        <w:tc>
          <w:tcPr>
            <w:tcW w:type="dxa" w:w="27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年度软件许可/订阅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活动、内容、场馆、运营、报告、多租户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核心经常性收入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按学校/模块/SLA，不按学生成绩收费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实施与系统集成</w:t>
            </w:r>
          </w:p>
        </w:tc>
        <w:tc>
          <w:tcPr>
            <w:tcW w:type="dxa" w:w="3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SSO、门禁、课表、活动、数据接口</w:t>
            </w:r>
          </w:p>
        </w:tc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一次性收入</w:t>
            </w:r>
          </w:p>
        </w:tc>
        <w:tc>
          <w:tcPr>
            <w:tcW w:type="dxa" w:w="2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控制定制比例，沉淀标准适配器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智慧场馆软件与运维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网关、设备接入、监控、数据质量、维护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经常性+项目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硬件厂商交付；不囤库存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校本内容与研究评估</w:t>
            </w:r>
          </w:p>
        </w:tc>
        <w:tc>
          <w:tcPr>
            <w:tcW w:type="dxa" w:w="3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知识库建设、干预设计、年度报告、联合研究</w:t>
            </w:r>
          </w:p>
        </w:tc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项目型收入</w:t>
            </w:r>
          </w:p>
        </w:tc>
        <w:tc>
          <w:tcPr>
            <w:tcW w:type="dxa" w:w="2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教师署名/IP/伦理，避免研究利益冲突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联盟/聚合基准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多校指标、实施支持、隐私保护的聚合分析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成熟期收入</w:t>
            </w:r>
          </w:p>
        </w:tc>
        <w:tc>
          <w:tcPr>
            <w:tcW w:type="dxa" w:w="2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原始个人数据留校，不卖数据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8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透明公益赞助</w:t>
            </w:r>
          </w:p>
        </w:tc>
        <w:tc>
          <w:tcPr>
            <w:tcW w:type="dxa" w:w="30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活动、器材或公益内容</w:t>
            </w:r>
          </w:p>
        </w:tc>
        <w:tc>
          <w:tcPr>
            <w:tcW w:type="dxa" w:w="1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非核心资金</w:t>
            </w:r>
          </w:p>
        </w:tc>
        <w:tc>
          <w:tcPr>
            <w:tcW w:type="dxa" w:w="27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赞助商不得取得个体数据或影响成绩</w:t>
            </w:r>
          </w:p>
        </w:tc>
      </w:tr>
    </w:tbl>
    <w:p>
      <w:pPr>
        <w:pStyle w:val="Heading2"/>
      </w:pPr>
      <w:r>
        <w:t>谁买单，谁把关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600"/>
        <w:gridCol w:w="3200"/>
        <w:gridCol w:w="4560"/>
      </w:tblGrid>
      <w:tr>
        <w:trPr>
          <w:tblHeader w:val="true"/>
          <w:cantSplit/>
          <w:cantSplit/>
          <w:cantSplit/>
        </w:trPr>
        <w:tc>
          <w:tcPr>
            <w:tcW w:type="dxa" w:w="16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可能单位</w:t>
            </w:r>
          </w:p>
        </w:tc>
        <w:tc>
          <w:tcPr>
            <w:tcW w:type="dxa" w:w="45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关心什么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Sponsor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分管校领导、全人教育/体育部门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学生主动健康、学校品牌、校级协同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共同预算方</w:t>
            </w:r>
          </w:p>
        </w:tc>
        <w:tc>
          <w:tcPr>
            <w:tcW w:type="dxa" w:w="3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体育馆、信息化、学生事务、科研/资产管理</w:t>
            </w:r>
          </w:p>
        </w:tc>
        <w:tc>
          <w:tcPr>
            <w:tcW w:type="dxa" w:w="4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运营效率、集成、安全、成果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Gatekeeper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采购、网安/法务、伦理委员会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合规、成本、供应商能力、责任边界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使用者</w:t>
            </w:r>
          </w:p>
        </w:tc>
        <w:tc>
          <w:tcPr>
            <w:tcW w:type="dxa" w:w="3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学生、教师、场馆员工、研究团队</w:t>
            </w:r>
          </w:p>
        </w:tc>
        <w:tc>
          <w:tcPr>
            <w:tcW w:type="dxa" w:w="45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便利、可信、少负担、可解释</w:t>
            </w:r>
          </w:p>
        </w:tc>
      </w:tr>
    </w:tbl>
    <w:p>
      <w:pPr>
        <w:pStyle w:val="Heading2"/>
      </w:pPr>
      <w:r>
        <w:t>内部报价假设：仅用于访谈验证，不是市场事实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2400"/>
        <w:gridCol w:w="4760"/>
      </w:tblGrid>
      <w:tr>
        <w:trPr>
          <w:tblHeader w:val="true"/>
          <w:cantSplit/>
          <w:cantSplit/>
          <w:cantSplit/>
        </w:trPr>
        <w:tc>
          <w:tcPr>
            <w:tcW w:type="dxa" w:w="22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4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待验证区间</w:t>
            </w:r>
          </w:p>
        </w:tc>
        <w:tc>
          <w:tcPr>
            <w:tcW w:type="dxa" w:w="47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验证方式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校内试点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5—15万元/学期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3—5位预算相关者访谈 + 正式试点范围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标准学校软件</w:t>
            </w:r>
          </w:p>
        </w:tc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20—60万元/年</w:t>
            </w:r>
          </w:p>
        </w:tc>
        <w:tc>
          <w:tcPr>
            <w:tcW w:type="dxa" w:w="4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功能/SLA/学生规模与竞品采购对标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首次集成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10—50万元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按SSO、门禁、课表、活动接口工作量拆分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单场馆IoT</w:t>
            </w:r>
          </w:p>
        </w:tc>
        <w:tc>
          <w:tcPr>
            <w:tcW w:type="dxa" w:w="2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10—80万元</w:t>
            </w:r>
          </w:p>
        </w:tc>
        <w:tc>
          <w:tcPr>
            <w:tcW w:type="dxa" w:w="47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按传感范围、网络、安装、维护和准确率要求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8"/>
              </w:rPr>
              <w:t>内容/研究项目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5—30万元/项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8"/>
              </w:rPr>
              <w:t>按专家工时、伦理、样本、报告和成果边界</w:t>
            </w:r>
          </w:p>
        </w:tc>
      </w:tr>
    </w:tbl>
    <w:p>
      <w:r>
        <w:rPr>
          <w:rFonts w:ascii="Microsoft YaHei" w:hAnsi="Microsoft YaHei" w:eastAsia="Microsoft YaHei"/>
          <w:b w:val="0"/>
        </w:rPr>
        <w:t>成熟期目标：软件+维护占收入至少60%，实施不超过25%，内容/研究约10%—20%；补助、比赛奖金、捐赠全部视为非经常资金，不计入ARR。12个月没有明确预算Owner时，应把项目定位为校级研究，而不是强行成立规模化公司。</w:t>
      </w:r>
    </w:p>
    <w:p>
      <w:pPr>
        <w:pStyle w:val="Heading1"/>
      </w:pPr>
      <w:r>
        <w:t>13. 资源地图：先授权，再试点，再证据，再申报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50"/>
        <w:gridCol w:w="3400"/>
        <w:gridCol w:w="2350"/>
        <w:gridCol w:w="186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7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资源类型</w:t>
            </w:r>
          </w:p>
        </w:tc>
        <w:tc>
          <w:tcPr>
            <w:tcW w:type="dxa" w:w="34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可以调用什么</w:t>
            </w:r>
          </w:p>
        </w:tc>
        <w:tc>
          <w:tcPr>
            <w:tcW w:type="dxa" w:w="23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18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正确顺序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组织/授权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校领导、体育/全人教育、场馆、信息化、法务伦理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决定项目能否真实落地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先明确Owner与责任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场景/数据</w:t>
            </w:r>
          </w:p>
        </w:tc>
        <w:tc>
          <w:tcPr>
            <w:tcW w:type="dxa" w:w="3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体育馆、门禁/预约/活动数据、珠海场景清单</w:t>
            </w:r>
          </w:p>
        </w:tc>
        <w:tc>
          <w:tcPr>
            <w:tcW w:type="dxa" w:w="2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验证学生与管理价值</w:t>
            </w:r>
          </w:p>
        </w:tc>
        <w:tc>
          <w:tcPr>
            <w:tcW w:type="dxa" w:w="1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一场馆、小范围、可量化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知识/科研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数字体育研究中心、教师、学生助研、伦理审批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沉淀内容与可信证据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先方案/伦理，再研究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技术/制造</w:t>
            </w:r>
          </w:p>
        </w:tc>
        <w:tc>
          <w:tcPr>
            <w:tcW w:type="dxa" w:w="3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校园网/云、传感器、深圳硬件供应链</w:t>
            </w:r>
          </w:p>
        </w:tc>
        <w:tc>
          <w:tcPr>
            <w:tcW w:type="dxa" w:w="2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降低设备与集成成本</w:t>
            </w:r>
          </w:p>
        </w:tc>
        <w:tc>
          <w:tcPr>
            <w:tcW w:type="dxa" w:w="1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需求验证后联合交付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传播/资金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大创、攀登、挑战杯、典型案例、基金会、赞助</w:t>
            </w:r>
          </w:p>
        </w:tc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降低融资/传播成本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有真实证据后申报</w:t>
            </w:r>
          </w:p>
        </w:tc>
      </w:tr>
    </w:tbl>
    <w:p>
      <w:pPr>
        <w:pStyle w:val="Heading2"/>
      </w:pPr>
      <w:r>
        <w:t>区域资源路径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00"/>
        <w:gridCol w:w="1900"/>
        <w:gridCol w:w="2800"/>
        <w:gridCol w:w="346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2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区域</w:t>
            </w:r>
          </w:p>
        </w:tc>
        <w:tc>
          <w:tcPr>
            <w:tcW w:type="dxa" w:w="19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角色</w:t>
            </w:r>
          </w:p>
        </w:tc>
        <w:tc>
          <w:tcPr>
            <w:tcW w:type="dxa" w:w="28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优先资源</w:t>
            </w:r>
          </w:p>
        </w:tc>
        <w:tc>
          <w:tcPr>
            <w:tcW w:type="dxa" w:w="34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使用方式与资格提醒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BNBU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第一性场景与科研总部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数字体育研究中心、教师、场馆、IT、创客中心、大创、基金会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先拿试点授权、教师共建、伦理/数据责任与预算归口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珠海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样板城市与场景开放</w:t>
            </w:r>
          </w:p>
        </w:tc>
        <w:tc>
          <w:tcPr>
            <w:tcW w:type="dxa" w:w="2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2026应用场景创新条例、社会发展科技项目、场景清单</w:t>
            </w:r>
          </w:p>
        </w:tc>
        <w:tc>
          <w:tcPr>
            <w:tcW w:type="dxa" w:w="34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学校可做需求方，团队/企业做能力方；年度细则和主体资格逐项核验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横琴/澳门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跨境研究与成果转化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生命健康、国际合作、IP与创新平台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通常要求合作区主体/伙伴；早期不传原始学生数据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广州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省级学术、教育传播与赛事</w:t>
            </w:r>
          </w:p>
        </w:tc>
        <w:tc>
          <w:tcPr>
            <w:tcW w:type="dxa" w:w="2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体育科研、超级智能体大赛、赢在广州、教博会/高博会</w:t>
            </w:r>
          </w:p>
        </w:tc>
        <w:tc>
          <w:tcPr>
            <w:tcW w:type="dxa" w:w="34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多数资金有广州落地/法人条件；用合作单位承接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深圳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硬件供应链与产业化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传感器、IoT、概念验证、中试、鲲鹏青年、展会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未来在深圳实际经营或有本地伙伴时再申请；不自建工厂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大湾区</w:t>
            </w:r>
          </w:p>
        </w:tc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多校复制与联合研究</w:t>
            </w:r>
          </w:p>
        </w:tc>
        <w:tc>
          <w:tcPr>
            <w:tcW w:type="dxa" w:w="2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跨校协议、统一指标、聚合基准、白皮书/标准</w:t>
            </w:r>
          </w:p>
        </w:tc>
        <w:tc>
          <w:tcPr>
            <w:tcW w:type="dxa" w:w="34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第二阶段；原始个人数据原则上留在各校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加州/湾区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国际标杆、客户发现与创业网络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UCB EIM、I-Corps、CITRIS、SkyDeck、Humanmade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以资格与合作关系为前提；不暗示UCB已合作</w:t>
            </w:r>
          </w:p>
        </w:tc>
      </w:tr>
    </w:tbl>
    <w:p>
      <w:pPr>
        <w:pStyle w:val="Heading2"/>
      </w:pPr>
      <w:r>
        <w:t>当前与下一轮机会窗口（以官方当年通知为准）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00"/>
        <w:gridCol w:w="1700"/>
        <w:gridCol w:w="3300"/>
        <w:gridCol w:w="216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22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机会</w:t>
            </w:r>
          </w:p>
        </w:tc>
        <w:tc>
          <w:tcPr>
            <w:tcW w:type="dxa" w:w="17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3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为什么匹配</w:t>
            </w:r>
          </w:p>
        </w:tc>
        <w:tc>
          <w:tcPr>
            <w:tcW w:type="dxa" w:w="21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限制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广州“超级智能体大赛”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截至2026-07-31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AI+文化体育/教育/治理；可报运动推荐或拥挤预测智能体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必须是真正可工作的智能体，不能贴AI标签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第六届全民健身科学大会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截至2026-08-03 14:00</w:t>
            </w:r>
          </w:p>
        </w:tc>
        <w:tc>
          <w:tcPr>
            <w:tcW w:type="dxa" w:w="3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数字赋能、学校联动、场馆智能化；可交论文/真实案例</w:t>
            </w:r>
          </w:p>
        </w:tc>
        <w:tc>
          <w:tcPr>
            <w:tcW w:type="dxa" w:w="2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需真实实施过程和社会/经济效益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全国青年体育科学学术会议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截至2026-08-10 14:00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学校体育、主动健康、智能装备、AI体育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第一作者45岁以下，适合教师带学生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智能体育典型案例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地方推荐截至2026-08-31</w:t>
            </w:r>
          </w:p>
        </w:tc>
        <w:tc>
          <w:tcPr>
            <w:tcW w:type="dxa" w:w="3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智慧校园、智慧场馆、运动健康平台</w:t>
            </w:r>
          </w:p>
        </w:tc>
        <w:tc>
          <w:tcPr>
            <w:tcW w:type="dxa" w:w="2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主体须境内独立法人；要求已有成效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Berkeley SkyDeck Batch 23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2026-07-20至08-21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全球创业项目；适合成熟的数字健康/校园科技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选择性高，投资并非申请即得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BNBU大创/创客中心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准备2027轮次</w:t>
            </w:r>
          </w:p>
        </w:tc>
        <w:tc>
          <w:tcPr>
            <w:tcW w:type="dxa" w:w="3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学生项目、场地、导师、法税融资服务</w:t>
            </w:r>
          </w:p>
        </w:tc>
        <w:tc>
          <w:tcPr>
            <w:tcW w:type="dxa" w:w="2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本科生团队、导师、BP和校内评审；2026轮次基本已过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数据要素×广东体育赛道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备战下一届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场馆人流、赛事运营、科学健身、预约数据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2026报名基本结束；先做真实应用证据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22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挑战杯/中国国际大学生创新大赛/三创赛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按学校下一轮通知</w:t>
            </w:r>
          </w:p>
        </w:tc>
        <w:tc>
          <w:tcPr>
            <w:tcW w:type="dxa" w:w="33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科研、创业、商业计划与社会价值</w:t>
            </w:r>
          </w:p>
        </w:tc>
        <w:tc>
          <w:tcPr>
            <w:tcW w:type="dxa" w:w="21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通常需校级选拔；奖项不替代采购和续费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24F"/>
                <w:sz w:val="25"/>
              </w:rPr>
              <w:t>资源运营机制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建立“政策与资源雷达”：Owner、资格条件、申报窗口、要服务的产品里程碑、交付证据、是否可持续。任何资源至少服务一个既定里程碑；不为补助临时堆功能。</w:t>
            </w:r>
          </w:p>
        </w:tc>
      </w:tr>
    </w:tbl>
    <w:p>
      <w:pPr>
        <w:spacing w:after="0"/>
      </w:pPr>
    </w:p>
    <w:p>
      <w:pPr>
        <w:pStyle w:val="Heading1"/>
      </w:pPr>
      <w:r>
        <w:t>14. 加州桥梁：把伯克利经历转化为标杆、研究与创业连接</w:t>
      </w:r>
    </w:p>
    <w:p>
      <w:r>
        <w:rPr>
          <w:rFonts w:ascii="Microsoft YaHei" w:hAnsi="Microsoft YaHei" w:eastAsia="Microsoft YaHei"/>
          <w:b w:val="0"/>
        </w:rPr>
        <w:t>团队目前在伯克利，最有价值的不是把中国学生数据带到美国，而是利用加州完成三件事：观察主动健康校园机制、开展客户发现与国际比较、连接数字健康和硬件创业网络。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00"/>
        <w:gridCol w:w="2500"/>
        <w:gridCol w:w="2750"/>
        <w:gridCol w:w="221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9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资源</w:t>
            </w:r>
          </w:p>
        </w:tc>
        <w:tc>
          <w:tcPr>
            <w:tcW w:type="dxa" w:w="25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可获得的价值</w:t>
            </w:r>
          </w:p>
        </w:tc>
        <w:tc>
          <w:tcPr>
            <w:tcW w:type="dxa" w:w="27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资格/现实边界</w:t>
            </w:r>
          </w:p>
        </w:tc>
        <w:tc>
          <w:tcPr>
            <w:tcW w:type="dxa" w:w="22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建议动作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UCB Exercise is Medicine / RecWell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主动健康文化、跨部门协作和学生服务标杆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不是开放资助，也不代表合作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做结构化访谈/观察清单，形成BNBU可本地化假设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Bay Area I-Corps</w:t>
            </w:r>
          </w:p>
        </w:tc>
        <w:tc>
          <w:tcPr>
            <w:tcW w:type="dxa" w:w="2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客户发现：学校为何付费、采购者是谁</w:t>
            </w:r>
          </w:p>
        </w:tc>
        <w:tc>
          <w:tcPr>
            <w:tcW w:type="dxa" w:w="2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不是直接拨款</w:t>
            </w:r>
          </w:p>
        </w:tc>
        <w:tc>
          <w:tcPr>
            <w:tcW w:type="dxa" w:w="2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用10—20次访谈验证B2B买方与价值主张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CITRIS Foundry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硬件/数字健康6个月孵化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需至少一名符合条件的UC学生、教职、博后或校友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若团队具备身份且已有原型再申请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CITRIS Seed Funding</w:t>
            </w:r>
          </w:p>
        </w:tc>
        <w:tc>
          <w:tcPr>
            <w:tcW w:type="dxa" w:w="2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跨校数字健康研究与PI网络</w:t>
            </w:r>
          </w:p>
        </w:tc>
        <w:tc>
          <w:tcPr>
            <w:tcW w:type="dxa" w:w="2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需两个不同CITRIS校区PI；2026轮次已截止</w:t>
            </w:r>
          </w:p>
        </w:tc>
        <w:tc>
          <w:tcPr>
            <w:tcW w:type="dxa" w:w="2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未来以教师合作与明确研究问题进入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Berkeley SkyDeck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国际化、投资与创业网络</w:t>
            </w:r>
          </w:p>
        </w:tc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全球可申但高度选择；投资独立审查</w:t>
            </w:r>
          </w:p>
        </w:tc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有公司、验证数据与增长计划后再投递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Humanmade / Accelerate California</w:t>
            </w:r>
          </w:p>
        </w:tc>
        <w:tc>
          <w:tcPr>
            <w:tcW w:type="dxa" w:w="25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传感器原型、制造与硬件加速</w:t>
            </w:r>
          </w:p>
        </w:tc>
        <w:tc>
          <w:tcPr>
            <w:tcW w:type="dxa" w:w="27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需入选当地hub/符合项目要求</w:t>
            </w:r>
          </w:p>
        </w:tc>
        <w:tc>
          <w:tcPr>
            <w:tcW w:type="dxa" w:w="2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仅用于原型和方法学习，不替代珠三角量产</w:t>
            </w:r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9E7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B7443E"/>
                <w:sz w:val="25"/>
              </w:rPr>
              <w:t>跨境数据红线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加州伙伴默认只看公开资料、方法、不可逆匿名或充分聚合结果。原始、可识别或仅去标识化的中国学生数据留在境内。确需出境时，必须逐项完成法律路径与学校审批；“学术合作”不是自动免责。</w:t>
            </w:r>
          </w:p>
        </w:tc>
      </w:tr>
    </w:tbl>
    <w:p>
      <w:pPr>
        <w:spacing w:after="0"/>
      </w:pPr>
    </w:p>
    <w:p>
      <w:pPr>
        <w:pStyle w:val="Heading1"/>
      </w:pPr>
      <w:r>
        <w:t>15. 0—60个月路线图：先证明一个闭环，再复制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350"/>
        <w:gridCol w:w="3400"/>
        <w:gridCol w:w="2800"/>
        <w:gridCol w:w="181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3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4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产品/组织动作</w:t>
            </w:r>
          </w:p>
        </w:tc>
        <w:tc>
          <w:tcPr>
            <w:tcW w:type="dxa" w:w="28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必须产出的证据</w:t>
            </w:r>
          </w:p>
        </w:tc>
        <w:tc>
          <w:tcPr>
            <w:tcW w:type="dxa" w:w="18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过关门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0—3个月</w:t>
              <w:br/>
              <w:t>校级化准备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锁定业务Sponsor、场馆Owner、科研PI/伦理联系人、预算/采购Owner；做基线与数据地图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授权、教师清单、基线、隐私/伦理路径、内容IP机制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1个场馆+3位教师+1个校级Sponsor+1条伦理路径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3—9个月</w:t>
              <w:br/>
              <w:t>单场馆试点</w:t>
            </w:r>
          </w:p>
        </w:tc>
        <w:tc>
          <w:tcPr>
            <w:tcW w:type="dxa" w:w="3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活力首页、活动聚合、20—30个教师内容、整体/分区人流、简单建议；8—12周试点</w:t>
            </w:r>
          </w:p>
        </w:tc>
        <w:tc>
          <w:tcPr>
            <w:tcW w:type="dxa" w:w="2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使用、到场、拥挤准确率、错峰、满意度、安全</w:t>
            </w:r>
          </w:p>
        </w:tc>
        <w:tc>
          <w:tcPr>
            <w:tcW w:type="dxa" w:w="18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自愿功能周使用约≥20%；准确率≥85%、在线率≥95%（待校准）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9—18个月</w:t>
              <w:br/>
              <w:t>证据与校级项目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准实验/随机化干预；接SSO/门禁；年度活力报告；校级预算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伦理批件、预注册、效应量、验收、报告/论文、续建预算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有正式验收与预算，而非仅有比赛曝光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18—30个月</w:t>
              <w:br/>
              <w:t>第二/第三校</w:t>
            </w:r>
          </w:p>
        </w:tc>
        <w:tc>
          <w:tcPr>
            <w:tcW w:type="dxa" w:w="34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多租户、配置化、标准IoT接口、实施手册、安全包、SLA</w:t>
            </w:r>
          </w:p>
        </w:tc>
        <w:tc>
          <w:tcPr>
            <w:tcW w:type="dxa" w:w="2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第二校上线周期、定制比例、付费试点、续费</w:t>
            </w:r>
          </w:p>
        </w:tc>
        <w:tc>
          <w:tcPr>
            <w:tcW w:type="dxa" w:w="18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上线约≤8周，专属代码≤30%—40%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30—60个月</w:t>
              <w:br/>
              <w:t>大湾区网络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珠海样板、广州学术传播、深圳硬件转化、横琴/澳门研究、多校基准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3校以上、白皮书、部署标准、研究联盟/采购案例</w:t>
            </w:r>
          </w:p>
        </w:tc>
        <w:tc>
          <w:tcPr>
            <w:tcW w:type="dxa" w:w="1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原始数据留校，跨校只做聚合/联邦分析</w:t>
            </w:r>
          </w:p>
        </w:tc>
      </w:tr>
    </w:tbl>
    <w:p>
      <w:pPr>
        <w:pStyle w:val="Heading2"/>
      </w:pPr>
      <w:r>
        <w:t>同一套证据，一次采集，多处复用</w:t>
      </w:r>
    </w:p>
    <w:p>
      <w:pPr>
        <w:pStyle w:val="DeckQuote"/>
      </w:pPr>
      <w:r>
        <w:t>问题证据 → 产品证据 → 行为证据 → 科研证据 → 影响力证据 → 采购证据 → 复制证据</w:t>
      </w:r>
    </w:p>
    <w:p>
      <w:r>
        <w:rPr>
          <w:rFonts w:ascii="Microsoft YaHei" w:hAnsi="Microsoft YaHei" w:eastAsia="Microsoft YaHei"/>
          <w:b w:val="0"/>
        </w:rPr>
        <w:t>基线问卷、排队记录与活动触达率，先证明问题；教师内容、功能可用与传感准确率，证明产品；自主运动、活动到场与错峰变化，证明行为；伦理、对照和效应量，证明科研；竞赛/论坛只负责放大；正式验收、预算、合同与续费，才是商业证据；第二校部署周期和定制比例，才是复制证据。</w:t>
      </w:r>
    </w:p>
    <w:p>
      <w:pPr>
        <w:pStyle w:val="Heading1"/>
      </w:pPr>
      <w:r>
        <w:t>16. 指标体系与Kill Criteria：什么时候继续，什么时候停止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700"/>
        <w:gridCol w:w="4800"/>
        <w:gridCol w:w="2860"/>
      </w:tblGrid>
      <w:tr>
        <w:trPr>
          <w:tblHeader w:val="true"/>
          <w:cantSplit/>
          <w:cantSplit/>
          <w:cantSplit/>
        </w:trPr>
        <w:tc>
          <w:tcPr>
            <w:tcW w:type="dxa" w:w="17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指标组</w:t>
            </w:r>
          </w:p>
        </w:tc>
        <w:tc>
          <w:tcPr>
            <w:tcW w:type="dxa" w:w="48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示例指标</w:t>
            </w:r>
          </w:p>
        </w:tc>
        <w:tc>
          <w:tcPr>
            <w:tcW w:type="dxa" w:w="286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用途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学生价值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自主活跃学生、活动曝光→报名→到场、计划完成/复用、自我效能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验证是否真的激发自驱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场馆价值</w:t>
            </w:r>
          </w:p>
        </w:tc>
        <w:tc>
          <w:tcPr>
            <w:tcW w:type="dxa" w:w="4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数据新鲜度、准确率、峰值分散、无效到访、投诉、人工工时</w:t>
            </w:r>
          </w:p>
        </w:tc>
        <w:tc>
          <w:tcPr>
            <w:tcW w:type="dxa" w:w="2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验证硬件与运营投入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知识资产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内容数量、审核率、复审率、教师更新、使用反馈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验证教师共建是否形成护城河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研究价值</w:t>
            </w:r>
          </w:p>
        </w:tc>
        <w:tc>
          <w:tcPr>
            <w:tcW w:type="dxa" w:w="4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伦理/预注册、样本保持、效应量、负面结果、报告/论文</w:t>
            </w:r>
          </w:p>
        </w:tc>
        <w:tc>
          <w:tcPr>
            <w:tcW w:type="dxa" w:w="2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验证科研可信度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商业价值</w:t>
            </w:r>
          </w:p>
        </w:tc>
        <w:tc>
          <w:tcPr>
            <w:tcW w:type="dxa" w:w="4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预算Owner、合同、续费、软件收入占比、第二校周期、定制比例</w:t>
            </w:r>
          </w:p>
        </w:tc>
        <w:tc>
          <w:tcPr>
            <w:tcW w:type="dxa" w:w="2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验证是否是可持续公司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治理底线</w:t>
            </w:r>
          </w:p>
        </w:tc>
        <w:tc>
          <w:tcPr>
            <w:tcW w:type="dxa" w:w="48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安全事件、敏感数据清单、审计、退出、申诉、跨境传输</w:t>
            </w:r>
          </w:p>
        </w:tc>
        <w:tc>
          <w:tcPr>
            <w:tcW w:type="dxa" w:w="28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出现重大问题即冻结</w:t>
            </w:r>
          </w:p>
        </w:tc>
      </w:tr>
    </w:tbl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连续两轮8—12周试点，自愿功能周使用仍低于约15%—20%，活动参与/错峰也无方向性改善：停止大而全，只保留有效校务模块。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12个月仍找不到预算Owner和正式采购路径，只有比赛奖金/补助：定位为校级研究项目，不按SaaS公司扩张。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两轮传感迭代后准确率&lt;85%或在线率&lt;95%，或维护成本高于价值：停止自研硬件，改接第三方/门禁数据。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少于3位教师持续更新内容，且无审核/IP激励：不能把校本知识资产当护城河，缩小范围或授权引入。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无法取得伦理路径，或不能把科研与成绩/正常服务彻底分离：停止个体健康/行为科研，只保留匿名运营统计。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第二校上线&gt;12周或专属代码&gt;40%：SaaS假设失败，必须重构配置层，否则承认是项目制咨询。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24个月没有付费续约、经常性收入&lt;40%；36个月仍主要靠补助/比赛：停止商业化扩张。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发生重大数据泄露、错误健康建议致伤、过度采集人脸/定位：立即冻结相关功能并审计。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硬件/可穿戴成为学生使用或成绩的事实门槛：必须提供无硬件等价路径。</w:t>
      </w:r>
    </w:p>
    <w:p>
      <w:pPr>
        <w:pStyle w:val="ListNumber"/>
        <w:numPr>
          <w:ilvl w:val="0"/>
          <w:numId w:val="12"/>
        </w:numPr>
      </w:pPr>
      <w:r>
        <w:rPr>
          <w:rFonts w:ascii="Microsoft YaHei" w:hAnsi="Microsoft YaHei" w:eastAsia="Microsoft YaHei"/>
        </w:rPr>
        <w:t>指标重新由打卡量/处罚率主导，而不是自主运动：发生使命漂移，终止该方向。</w:t>
      </w:r>
    </w:p>
    <w:p>
      <w:pPr>
        <w:pStyle w:val="Heading1"/>
      </w:pPr>
      <w:r>
        <w:t>17. 风险红线：商业化越强，治理越要先行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550"/>
        <w:gridCol w:w="3600"/>
        <w:gridCol w:w="4210"/>
      </w:tblGrid>
      <w:tr>
        <w:trPr>
          <w:tblHeader w:val="true"/>
          <w:cantSplit/>
          <w:cantSplit/>
          <w:cantSplit/>
        </w:trPr>
        <w:tc>
          <w:tcPr>
            <w:tcW w:type="dxa" w:w="15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风险</w:t>
            </w:r>
          </w:p>
        </w:tc>
        <w:tc>
          <w:tcPr>
            <w:tcW w:type="dxa" w:w="36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红线</w:t>
            </w:r>
          </w:p>
        </w:tc>
        <w:tc>
          <w:tcPr>
            <w:tcW w:type="dxa" w:w="42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控制措施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医疗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不诊断、不治疗、不自动开运动处方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默认科普/非医疗促进/风险提示/转介；诊疗只能依托资质机构与人员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敏感个人信息</w:t>
            </w:r>
          </w:p>
        </w:tc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健康、生物识别、行踪轨迹等必须特定目的、充分必要、严格保护</w:t>
            </w:r>
          </w:p>
        </w:tc>
        <w:tc>
          <w:tcPr>
            <w:tcW w:type="dxa" w:w="4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若以同意为依据原则上单独同意；其他处理基础由校方法务明确；做影响评估与审计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未成年人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不自动贴标签，不把科研同意与成绩/服务捆绑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监护人规则、儿童专门制度、最小化字段、专业转介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算法</w:t>
            </w:r>
          </w:p>
        </w:tc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高影响决定不得仅由算法作出</w:t>
            </w:r>
          </w:p>
        </w:tc>
        <w:tc>
          <w:tcPr>
            <w:tcW w:type="dxa" w:w="4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人工复核、解释、申诉、退出、模型监控与备案适用性评估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科研伦理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先审批/登记，再研究，不能事后补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运营/科研隔离、知情同意、退出、去标识、保留/删除规则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跨境</w:t>
            </w:r>
          </w:p>
        </w:tc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可识别中国学生数据默认不出境</w:t>
            </w:r>
          </w:p>
        </w:tc>
        <w:tc>
          <w:tcPr>
            <w:tcW w:type="dxa" w:w="4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加州只看公开、匿名或充分聚合资料；出境逐项评估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硬件/场馆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人数估计不能替代安全承载量判断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误差/更新时间标注、SLA、网络安全与责任分配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5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6"/>
              </w:rPr>
              <w:t>政策与商业</w:t>
            </w:r>
          </w:p>
        </w:tc>
        <w:tc>
          <w:tcPr>
            <w:tcW w:type="dxa" w:w="36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政策方向不等于订单、补贴、资格或背书</w:t>
            </w:r>
          </w:p>
        </w:tc>
        <w:tc>
          <w:tcPr>
            <w:tcW w:type="dxa" w:w="42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6"/>
              </w:rPr>
              <w:t>按年核验申报条件；不计入ARR；材料中注明未获支持</w:t>
            </w:r>
          </w:p>
        </w:tc>
      </w:tr>
    </w:tbl>
    <w:p>
      <w:pPr>
        <w:pStyle w:val="Heading1"/>
      </w:pPr>
      <w:r>
        <w:t>18. 接下来90天：只做能决定命运的动作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250"/>
        <w:gridCol w:w="1700"/>
        <w:gridCol w:w="3900"/>
        <w:gridCol w:w="2510"/>
      </w:tblGrid>
      <w:tr>
        <w:trPr>
          <w:tblHeader w:val="true"/>
          <w:cantSplit/>
          <w:cantSplit/>
          <w:cantSplit/>
          <w:cantSplit/>
        </w:trPr>
        <w:tc>
          <w:tcPr>
            <w:tcW w:type="dxa" w:w="125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17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负责人类型</w:t>
            </w:r>
          </w:p>
        </w:tc>
        <w:tc>
          <w:tcPr>
            <w:tcW w:type="dxa" w:w="390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动作</w:t>
            </w:r>
          </w:p>
        </w:tc>
        <w:tc>
          <w:tcPr>
            <w:tcW w:type="dxa" w:w="2510"/>
            <w:shd w:fill="16324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/>
              <w:jc w:val="left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交付物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第1—2周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项目负责人+导师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确认校级Sponsor、场馆Owner、科研PI/伦理联系人、预算Owner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四方责任图、会议纪要、授权缺口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第1—3周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产品/研究</w:t>
            </w:r>
          </w:p>
        </w:tc>
        <w:tc>
          <w:tcPr>
            <w:tcW w:type="dxa" w:w="3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访谈20—30名学生、3—5名教师、3—5名管理/采购相关者</w:t>
            </w:r>
          </w:p>
        </w:tc>
        <w:tc>
          <w:tcPr>
            <w:tcW w:type="dxa" w:w="2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问题基线、价值排序、预算假设修订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第2—4周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技术/法务/学校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修复HTTPS与权限隐患；完成数据地图、研究/运营隔离与隐私文案草案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安全清单、影响评估草案、数据字典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第3—6周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教师编委会</w:t>
            </w:r>
          </w:p>
        </w:tc>
        <w:tc>
          <w:tcPr>
            <w:tcW w:type="dxa" w:w="3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共建首批20—30个知识单元与内容治理规则</w:t>
            </w:r>
          </w:p>
        </w:tc>
        <w:tc>
          <w:tcPr>
            <w:tcW w:type="dxa" w:w="2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作者/证据/风险/复审模板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第4—8周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产品/场馆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搭建活力首页、活动聚合、门禁/人工人流基线和拥挤等级原型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可演示闭环与准确率测试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5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第6—10周</w:t>
            </w:r>
          </w:p>
        </w:tc>
        <w:tc>
          <w:tcPr>
            <w:tcW w:type="dxa" w:w="17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科研团队</w:t>
            </w:r>
          </w:p>
        </w:tc>
        <w:tc>
          <w:tcPr>
            <w:tcW w:type="dxa" w:w="390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确定12周试点设计、指标、伦理路径与预注册方案</w:t>
            </w:r>
          </w:p>
        </w:tc>
        <w:tc>
          <w:tcPr>
            <w:tcW w:type="dxa" w:w="251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方案、招募/同意材料、统计计划</w:t>
            </w:r>
          </w:p>
        </w:tc>
      </w:tr>
      <w:tr>
        <w:trPr>
          <w:cantSplit/>
          <w:cantSplit/>
          <w:cantSplit/>
          <w:cantSplit/>
          <w:cantSplit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1A1A1A"/>
                <w:sz w:val="17"/>
              </w:rPr>
              <w:t>第8—12周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项目负责人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用同一证据包选择性申报学术会议/典型案例/场景清单/竞赛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 w:val="0"/>
                <w:color w:val="1A1A1A"/>
                <w:sz w:val="17"/>
              </w:rPr>
              <w:t>一套主材料、多版本附件；不夸大成熟度</w:t>
            </w:r>
          </w:p>
        </w:tc>
      </w:tr>
    </w:tbl>
    <w:p>
      <w:pPr>
        <w:pStyle w:val="Heading2"/>
      </w:pPr>
      <w:r>
        <w:t>90天以后再决定三件事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>它是校级研究项目、校内正式服务，还是具备独立创业条件？答案取决于预算与试点，而不是比赛结果。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>人流硬件是否值得铺？答案取决于信息是否改变学生行为，以及最低成本数据源是否够用。</w:t>
      </w:r>
    </w:p>
    <w:p>
      <w:pPr>
        <w:pStyle w:val="ListNumber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是否进入第二校？答案取决于连续两学期证据、一次正式验收/预算和可复用程度。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3FB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24F"/>
                <w:sz w:val="25"/>
              </w:rPr>
              <w:t>最小成功定义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90天内不是“做完所有功能”，而是拿到一个正式试点授权、一个可用的学生闭环、一个合规研究路径、一套教师内容规则，以及一位明确的预算Owner。</w:t>
            </w:r>
          </w:p>
        </w:tc>
      </w:tr>
    </w:tbl>
    <w:p>
      <w:pPr>
        <w:spacing w:after="0"/>
      </w:pPr>
    </w:p>
    <w:p>
      <w:pPr>
        <w:pStyle w:val="Heading1"/>
      </w:pPr>
      <w:r>
        <w:t>19. 最终走向：一所学校里长出的中国主动健康数字方案</w:t>
      </w:r>
    </w:p>
    <w:p>
      <w:r>
        <w:rPr>
          <w:rFonts w:ascii="Microsoft YaHei" w:hAnsi="Microsoft YaHei" w:eastAsia="Microsoft YaHei"/>
          <w:b w:val="0"/>
        </w:rPr>
        <w:t>这个项目最好的未来，不是把校园体育做成更精细的监督，也不是勉强寻找校内双边交易来收佣金。它可以从BNBU的一次学生作品出发，成为学校“健康第一”和“一校一策”的执行系统；通过教师知识、校园活动、实时场馆和Evidence Lab，持续回答什么方法能让学生真正行动；再以珠海的场景创新、大湾区的科研与制造、伯克利的主动健康标杆和创业网络为资源，把经过验证的能力复制到更多校园与公共体育场景。</w:t>
      </w:r>
    </w:p>
    <w:p>
      <w:pPr>
        <w:pStyle w:val="DeckQuote"/>
      </w:pPr>
      <w:r>
        <w:t>最终目标：从体育打卡工具 → 校园主动健康与体育治理数字底座 → 可复制的高校活力校园解决方案。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DF3FB"/>
          </w:tcPr>
          <w:p>
            <w:pPr>
              <w:spacing w:after="80"/>
            </w:pPr>
            <w:r>
              <w:rPr>
                <w:rFonts w:ascii="Microsoft YaHei" w:hAnsi="Microsoft YaHei" w:eastAsia="Microsoft YaHei"/>
                <w:b/>
                <w:color w:val="16324F"/>
                <w:sz w:val="25"/>
              </w:rPr>
              <w:t>一句话对外表达</w:t>
            </w:r>
          </w:p>
          <w:p>
            <w:pPr>
              <w:spacing w:after="0"/>
            </w:pPr>
            <w:r>
              <w:rPr>
                <w:rFonts w:ascii="Microsoft YaHei" w:hAnsi="Microsoft YaHei" w:eastAsia="Microsoft YaHei"/>
                <w:color w:val="1A1A1A"/>
                <w:sz w:val="21"/>
              </w:rPr>
              <w:t>我们不是帮助学校更严格地证明学生运动过；我们帮助学校建立一种让学生更愿意运动、让场馆更好用、让教师知识可复用、让健康干预可验证的校园能力。</w:t>
            </w:r>
          </w:p>
        </w:tc>
      </w:tr>
    </w:tbl>
    <w:p>
      <w:pPr>
        <w:spacing w:after="0"/>
      </w:pPr>
    </w:p>
    <w:p>
      <w:pPr>
        <w:pStyle w:val="Heading1"/>
      </w:pPr>
      <w:r>
        <w:t>附录A｜核心官方来源与核验口径</w:t>
      </w:r>
    </w:p>
    <w:p>
      <w:r>
        <w:rPr>
          <w:rFonts w:ascii="Microsoft YaHei" w:hAnsi="Microsoft YaHei" w:eastAsia="Microsoft YaHei"/>
          <w:b w:val="0"/>
          <w:color w:val="5D6772"/>
          <w:sz w:val="18"/>
        </w:rPr>
        <w:t>文中涉及政策、资格与时间窗口均应在实际申报前再次核验；未获得的资源不得表述为支持、合作或背书。以下优先列中央与官方一手来源。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[P1] 《中华人民共和国国民经济和社会发展第十五个五年规划纲要》</w:t>
      </w:r>
      <w:r>
        <w:t xml:space="preserve">  </w:t>
      </w:r>
      <w:hyperlink r:id="rId11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；2026—2030总纲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[P2] 国务院《国民健康“十五五”规划》</w:t>
      </w:r>
      <w:r>
        <w:t xml:space="preserve">  </w:t>
      </w:r>
      <w:hyperlink r:id="rId12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；2026-07-13发布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[P3] 国务院关于《体育强国建设“十五五”规划》的批复</w:t>
      </w:r>
      <w:r>
        <w:t xml:space="preserve">  </w:t>
      </w:r>
      <w:hyperlink r:id="rId13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；公开批复，不自行扩写未公开全文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[P4] 国务院《教育发展“十五五”规划》</w:t>
      </w:r>
      <w:r>
        <w:t xml:space="preserve">  </w:t>
      </w:r>
      <w:hyperlink r:id="rId14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；健康学校与教育数智化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[P5] 教育部等五部门《学生体质强健计划》</w:t>
      </w:r>
      <w:r>
        <w:t xml:space="preserve">  </w:t>
      </w:r>
      <w:hyperlink r:id="rId15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；过程+结果、数字画像、智慧场馆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[P6] 教育部《关于全面推进健康学校建设的指导意见》</w:t>
      </w:r>
      <w:r>
        <w:t xml:space="preserve">  </w:t>
      </w:r>
      <w:hyperlink r:id="rId16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；2026-02-27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[P7] 儿童青少年“五健”促进行动计划（2026—2030年）</w:t>
      </w:r>
      <w:r>
        <w:t xml:space="preserve">  </w:t>
      </w:r>
      <w:hyperlink r:id="rId17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；体重、视力、心理、骨骼、口腔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[P8] 教育部等五部门《“人工智能+教育”行动计划》</w:t>
      </w:r>
      <w:r>
        <w:t xml:space="preserve">  </w:t>
      </w:r>
      <w:hyperlink r:id="rId18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；2026-04-10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[P9] 体育总局《关于推动运动促进健康事业高质量发展的指导意见》</w:t>
      </w:r>
      <w:r>
        <w:t xml:space="preserve">  </w:t>
      </w:r>
      <w:hyperlink r:id="rId19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；非医疗运动健康促进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[P10] 《全民健身运动码》3项行业标准</w:t>
      </w:r>
      <w:r>
        <w:t xml:space="preserve">  </w:t>
      </w:r>
      <w:hyperlink r:id="rId20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；2026-09-15实施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[P11] 国务院办公厅《关于释放体育消费潜力进一步推进体育产业高质量发展的意见》</w:t>
      </w:r>
      <w:r>
        <w:t xml:space="preserve">  </w:t>
      </w:r>
      <w:hyperlink r:id="rId21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；国办发〔2025〕31号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[P12] 体育总局/工信部2026年度智能体育典型案例征集</w:t>
      </w:r>
      <w:r>
        <w:t xml:space="preserve">  </w:t>
      </w:r>
      <w:hyperlink r:id="rId22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；地方推荐截至2026-08-31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[P13] 教育部：大学生体质提升专项行动实施信号</w:t>
      </w:r>
      <w:r>
        <w:t xml:space="preserve">  </w:t>
      </w:r>
      <w:hyperlink r:id="rId23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；2026-07-13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[P14] 国家数据局2026年“数据要素×”大赛通知</w:t>
      </w:r>
      <w:r>
        <w:t xml:space="preserve">  </w:t>
      </w:r>
      <w:hyperlink r:id="rId24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；体育总局列入组委会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[L1] 中华人民共和国个人信息保护法</w:t>
      </w:r>
      <w:r>
        <w:t xml:space="preserve">  </w:t>
      </w:r>
      <w:hyperlink r:id="rId25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；敏感个人信息与影响评估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[L2] 人脸识别技术应用安全管理办法</w:t>
      </w:r>
      <w:r>
        <w:t xml:space="preserve">  </w:t>
      </w:r>
      <w:hyperlink r:id="rId26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；2025-06-01施行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[L3] 涉及人的生命科学和医学研究伦理审查办法</w:t>
      </w:r>
      <w:r>
        <w:t xml:space="preserve">  </w:t>
      </w:r>
      <w:hyperlink r:id="rId27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；健康/行为研究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[L4] 促进和规范数据跨境流动规定</w:t>
      </w:r>
      <w:r>
        <w:t xml:space="preserve">  </w:t>
      </w:r>
      <w:hyperlink r:id="rId28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；跨境需逐项判断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[B1] BNBU数字体育研究中心</w:t>
      </w:r>
      <w:r>
        <w:t xml:space="preserve">  </w:t>
      </w:r>
      <w:hyperlink r:id="rId29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；校内科研资源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[B2] BNBU大创计划指南</w:t>
      </w:r>
      <w:r>
        <w:t xml:space="preserve">  </w:t>
      </w:r>
      <w:hyperlink r:id="rId30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；以当年校内通知为准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[B3] BNBU创客中心管理规则</w:t>
      </w:r>
      <w:r>
        <w:t xml:space="preserve">  </w:t>
      </w:r>
      <w:hyperlink r:id="rId31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；2026修订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[B4] BNBU至行体育文化基金历史案例</w:t>
      </w:r>
      <w:r>
        <w:t xml:space="preserve">  </w:t>
      </w:r>
      <w:hyperlink r:id="rId32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；只证明历史先例，不代表当前余额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[Z1] 珠海经济特区应用场景创新促进条例</w:t>
      </w:r>
      <w:r>
        <w:t xml:space="preserve">  </w:t>
      </w:r>
      <w:hyperlink r:id="rId33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；2026-08-01施行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[Z2] 珠海场景创新第一批征集表模板</w:t>
      </w:r>
      <w:r>
        <w:t xml:space="preserve">  </w:t>
      </w:r>
      <w:hyperlink r:id="rId34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；本批已截止，供下一批准备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[G1] 广州首届“超级智能体大赛”</w:t>
      </w:r>
      <w:r>
        <w:t xml:space="preserve">  </w:t>
      </w:r>
      <w:hyperlink r:id="rId35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；截至2026-07-31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[G2] 第六届全民健身科学大会</w:t>
      </w:r>
      <w:r>
        <w:t xml:space="preserve">  </w:t>
      </w:r>
      <w:hyperlink r:id="rId36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；截至2026-08-03 14:00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[G3] 第十届全国青年体育科学学术会议</w:t>
      </w:r>
      <w:r>
        <w:t xml:space="preserve">  </w:t>
      </w:r>
      <w:hyperlink r:id="rId37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；截至2026-08-10 14:00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[C1] UCB Exercise is Medicine / RecWell</w:t>
      </w:r>
      <w:r>
        <w:t xml:space="preserve">  </w:t>
      </w:r>
      <w:hyperlink r:id="rId38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；标杆，不是资助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[C2] Berkeley SkyDeck Apply</w:t>
      </w:r>
      <w:r>
        <w:t xml:space="preserve">  </w:t>
      </w:r>
      <w:hyperlink r:id="rId39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；Batch 23：2026-07-20至08-21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[C3] CITRIS Foundry FAQ</w:t>
      </w:r>
      <w:r>
        <w:t xml:space="preserve">  </w:t>
      </w:r>
      <w:hyperlink r:id="rId40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；有UC身份门槛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[C4] Bay Area I-Corps</w:t>
      </w:r>
      <w:r>
        <w:t xml:space="preserve">  </w:t>
      </w:r>
      <w:hyperlink r:id="rId41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；客户发现</w:t>
      </w:r>
    </w:p>
    <w:p>
      <w:pPr>
        <w:spacing w:after="40"/>
        <w:ind w:left="255" w:hanging="255"/>
      </w:pPr>
      <w:r>
        <w:rPr>
          <w:rFonts w:ascii="Microsoft YaHei" w:hAnsi="Microsoft YaHei" w:eastAsia="Microsoft YaHei"/>
          <w:b/>
          <w:color w:val="16324F"/>
          <w:sz w:val="17"/>
        </w:rPr>
        <w:t>[C5] CalOSBA Accelerate California / Humanmade</w:t>
      </w:r>
      <w:r>
        <w:t xml:space="preserve">  </w:t>
      </w:r>
      <w:hyperlink r:id="rId42">
        <w:r>
          <w:rPr>
            <w:rFonts w:ascii="Calibri" w:hAnsi="Calibri" w:eastAsia="Microsoft YaHei"/>
            <w:color w:val="2E74B5"/>
            <w:u w:val="single"/>
          </w:rPr>
          <w:t>官方链接</w:t>
        </w:r>
      </w:hyperlink>
      <w:r>
        <w:rPr>
          <w:rFonts w:ascii="Microsoft YaHei" w:hAnsi="Microsoft YaHei" w:eastAsia="Microsoft YaHei"/>
          <w:color w:val="5D6772"/>
          <w:sz w:val="17"/>
        </w:rPr>
        <w:t>；硬件原型与加速，需资格</w:t>
      </w:r>
    </w:p>
    <w:p>
      <w:pPr>
        <w:pStyle w:val="Heading1"/>
      </w:pPr>
      <w:r>
        <w:t>附录B｜决策假设与使用说明</w:t>
      </w:r>
    </w:p>
    <w:p>
      <w:pPr>
        <w:pStyle w:val="ListBullet"/>
      </w:pPr>
      <w:r>
        <w:rPr>
          <w:rFonts w:ascii="Microsoft YaHei" w:hAnsi="Microsoft YaHei" w:eastAsia="Microsoft YaHei"/>
        </w:rPr>
        <w:t>内部评分、报价区间、使用率/准确率/部署周期等数字均为管理假设或继续投入阈值，不是当前事实或对外承诺；必须在访谈和试点中校准。</w:t>
      </w:r>
    </w:p>
    <w:p>
      <w:pPr>
        <w:pStyle w:val="ListBullet"/>
      </w:pPr>
      <w:r>
        <w:rPr>
          <w:rFonts w:ascii="Microsoft YaHei" w:hAnsi="Microsoft YaHei" w:eastAsia="Microsoft YaHei"/>
        </w:rPr>
        <w:t>资源清单中的政策、比赛、基金、加速器、学校中心均不代表已获得支持或合作；提交材料前核验主体、地区、学籍、法人、截止日期和校内流程。</w:t>
      </w:r>
    </w:p>
    <w:p>
      <w:pPr>
        <w:pStyle w:val="ListBullet"/>
      </w:pPr>
      <w:r>
        <w:rPr>
          <w:rFonts w:ascii="Microsoft YaHei" w:hAnsi="Microsoft YaHei" w:eastAsia="Microsoft YaHei"/>
        </w:rPr>
        <w:t>本报告不是法律、医疗、科研伦理或投资建议。涉及健康建议、未成年人、医疗器械、互联网诊疗、个人信息、跨境数据和采购时，应由对应专业机构审核。</w:t>
      </w:r>
    </w:p>
    <w:p>
      <w:pPr>
        <w:pStyle w:val="ListBullet"/>
      </w:pPr>
      <w:r>
        <w:rPr>
          <w:rFonts w:ascii="Microsoft YaHei" w:hAnsi="Microsoft YaHei" w:eastAsia="Microsoft YaHei"/>
        </w:rPr>
        <w:t>SmartWorkout存在多个同名产品，本报告只把公开的训练内容、模板与进度跟踪作为产品参照；正式材料应确认用户所指的具体网站。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D6772"/>
        <w:sz w:val="17"/>
      </w:rPr>
      <w:t>内部讨论稿｜截至 2026-07-14｜</w:t>
    </w:r>
    <w:r>
      <w:rPr>
        <w:rFonts w:ascii="Microsoft YaHei" w:hAnsi="Microsoft YaHei" w:eastAsia="Microsoft YaHei"/>
        <w:color w:val="5D6772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b/>
        <w:color w:val="5D6772"/>
        <w:sz w:val="16"/>
      </w:rPr>
      <w:t>BNBU ACTIVE CAMPUS OS  /  战略推演 2026—2030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after="120"/>
      <w:jc w:val="both"/>
    </w:pPr>
    <w:rPr>
      <w:rFonts w:ascii="Calibri" w:hAnsi="Calibr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6324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60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5D677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Microsoft YaHei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ckQuote">
    <w:name w:val="Deck Quote"/>
    <w:pPr>
      <w:spacing w:after="200"/>
      <w:ind w:left="198" w:right="198"/>
    </w:pPr>
    <w:rPr>
      <w:rFonts w:ascii="Calibri" w:hAnsi="Calibri" w:eastAsia="Microsoft YaHei"/>
      <w:b/>
      <w:color w:val="16324F"/>
      <w:sz w:val="3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ndrc.gov.cn/fggz/fzzlgh/gjfzgh/202603/U020260317369114704096.pdf" TargetMode="External"/><Relationship Id="rId12" Type="http://schemas.openxmlformats.org/officeDocument/2006/relationships/hyperlink" Target="https://www.gov.cn/zhengce/content/202607/content_7075213.htm" TargetMode="External"/><Relationship Id="rId13" Type="http://schemas.openxmlformats.org/officeDocument/2006/relationships/hyperlink" Target="https://www.gov.cn/zhengce/content/202607/content_7074092.htm" TargetMode="External"/><Relationship Id="rId14" Type="http://schemas.openxmlformats.org/officeDocument/2006/relationships/hyperlink" Target="https://www.moe.gov.cn/jyb_xxgk/moe_1777/moe_1778/202606/t20260629_1442045.html" TargetMode="External"/><Relationship Id="rId15" Type="http://schemas.openxmlformats.org/officeDocument/2006/relationships/hyperlink" Target="https://www.moe.gov.cn/srcsite/A17/moe_938/s3273/202511/t20251119_1420840.html" TargetMode="External"/><Relationship Id="rId16" Type="http://schemas.openxmlformats.org/officeDocument/2006/relationships/hyperlink" Target="https://www.moe.gov.cn/srcsite/A17/moe_943/moe_946/202602/t20260227_1429365.html" TargetMode="External"/><Relationship Id="rId17" Type="http://schemas.openxmlformats.org/officeDocument/2006/relationships/hyperlink" Target="https://www.nhc.gov.cn/fys/c100078/202512/9c3da4badfb34026b5fabbf5853105ee.shtml" TargetMode="External"/><Relationship Id="rId18" Type="http://schemas.openxmlformats.org/officeDocument/2006/relationships/hyperlink" Target="https://www.moe.gov.cn/srcsite/A16/s3342/202604/t20260410_1433240.html" TargetMode="External"/><Relationship Id="rId19" Type="http://schemas.openxmlformats.org/officeDocument/2006/relationships/hyperlink" Target="https://www.sport.gov.cn/n315/n20001395/c29071988/content.html" TargetMode="External"/><Relationship Id="rId20" Type="http://schemas.openxmlformats.org/officeDocument/2006/relationships/hyperlink" Target="https://www.sport.gov.cn/xxzx/n5594/c29512905/content.html" TargetMode="External"/><Relationship Id="rId21" Type="http://schemas.openxmlformats.org/officeDocument/2006/relationships/hyperlink" Target="https://www.mct.gov.cn/preview/whhlyqyzcxxfw/wlrh/202509/t20250909_962109.html" TargetMode="External"/><Relationship Id="rId22" Type="http://schemas.openxmlformats.org/officeDocument/2006/relationships/hyperlink" Target="https://www.sport.gov.cn/kjs/n5081/c29657380/content.html" TargetMode="External"/><Relationship Id="rId23" Type="http://schemas.openxmlformats.org/officeDocument/2006/relationships/hyperlink" Target="https://www.moe.gov.cn/jyb_xwfb/s5147/202607/t20260713_1443529.html" TargetMode="External"/><Relationship Id="rId24" Type="http://schemas.openxmlformats.org/officeDocument/2006/relationships/hyperlink" Target="https://www.nda.gov.cn/sjj/zwgk/tzgg/0427/20260427215820802616908_pc.html" TargetMode="External"/><Relationship Id="rId25" Type="http://schemas.openxmlformats.org/officeDocument/2006/relationships/hyperlink" Target="https://www.npc.gov.cn/npc/c2/c30834/202108/t20210820_313088.html" TargetMode="External"/><Relationship Id="rId26" Type="http://schemas.openxmlformats.org/officeDocument/2006/relationships/hyperlink" Target="https://www.cac.gov.cn/2025-03/21/c_1744174262342111.htm" TargetMode="External"/><Relationship Id="rId27" Type="http://schemas.openxmlformats.org/officeDocument/2006/relationships/hyperlink" Target="https://www.nhc.gov.cn/wjw/c100375/202302/902b4a1dc3af4aba862a6387e6e376dc.shtml" TargetMode="External"/><Relationship Id="rId28" Type="http://schemas.openxmlformats.org/officeDocument/2006/relationships/hyperlink" Target="https://www.cac.gov.cn/2024-03/22/c_1712776611775634.htm" TargetMode="External"/><Relationship Id="rId29" Type="http://schemas.openxmlformats.org/officeDocument/2006/relationships/hyperlink" Target="https://rcm.bnbu.edu.cn/rcsa/AboutUs/zzgs.htm" TargetMode="External"/><Relationship Id="rId30" Type="http://schemas.openxmlformats.org/officeDocument/2006/relationships/hyperlink" Target="https://ic.bnbu.edu.cn/en/info/1118/6215.htm" TargetMode="External"/><Relationship Id="rId31" Type="http://schemas.openxmlformats.org/officeDocument/2006/relationships/hyperlink" Target="https://ic.bnbu.edu.cn/info/1111/1892.htm" TargetMode="External"/><Relationship Id="rId32" Type="http://schemas.openxmlformats.org/officeDocument/2006/relationships/hyperlink" Target="https://foundation.bnbu.edu.cn/info/1064/1301.htm" TargetMode="External"/><Relationship Id="rId33" Type="http://schemas.openxmlformats.org/officeDocument/2006/relationships/hyperlink" Target="https://www.hengqin.gov.cn/lab/flfg/zhdffg/content/post_3923530.html" TargetMode="External"/><Relationship Id="rId34" Type="http://schemas.openxmlformats.org/officeDocument/2006/relationships/hyperlink" Target="https://www.hengqin.gov.cn/attachment/0/424/424621/3870969.pdf" TargetMode="External"/><Relationship Id="rId35" Type="http://schemas.openxmlformats.org/officeDocument/2006/relationships/hyperlink" Target="https://kjj.gz.gov.cn/xwlb/yw/content/post_10865186.html" TargetMode="External"/><Relationship Id="rId36" Type="http://schemas.openxmlformats.org/officeDocument/2006/relationships/hyperlink" Target="https://www.csss.cn/a2288.html" TargetMode="External"/><Relationship Id="rId37" Type="http://schemas.openxmlformats.org/officeDocument/2006/relationships/hyperlink" Target="https://www.csss.cn/a2290.html" TargetMode="External"/><Relationship Id="rId38" Type="http://schemas.openxmlformats.org/officeDocument/2006/relationships/hyperlink" Target="https://recwell.berkeley.edu/wellness-offerings/" TargetMode="External"/><Relationship Id="rId39" Type="http://schemas.openxmlformats.org/officeDocument/2006/relationships/hyperlink" Target="https://skydeck.berkeley.edu/apply/" TargetMode="External"/><Relationship Id="rId40" Type="http://schemas.openxmlformats.org/officeDocument/2006/relationships/hyperlink" Target="https://citrisfoundry.org/faq/" TargetMode="External"/><Relationship Id="rId41" Type="http://schemas.openxmlformats.org/officeDocument/2006/relationships/hyperlink" Target="https://begin.berkeley.edu/resources/bay-area-i-corps/" TargetMode="External"/><Relationship Id="rId42" Type="http://schemas.openxmlformats.org/officeDocument/2006/relationships/hyperlink" Target="https://www.calosba.ca.gov/funding-grants-incentives/accelerate-california/humanm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BNBU活力校园项目战略推演与商业化路线（2026—2030）</dc:title>
  <dc:subject>从体育打卡工具到活力校园操作系统与运动健康证据平台</dc:subject>
  <dc:creator>项目战略讨论稿</dc:creator>
  <cp:keywords>BNBU, 活力校园, 智慧体育, 主动健康, 商业化, 国家政策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