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D92959" w14:textId="77777777" w:rsidR="00034DF2" w:rsidRPr="00034DF2" w:rsidRDefault="00034DF2" w:rsidP="00034DF2">
      <w:pPr>
        <w:ind w:firstLine="0"/>
      </w:pPr>
      <w:r w:rsidRPr="00034DF2">
        <w:t>Chad Keith</w:t>
      </w:r>
    </w:p>
    <w:p w14:paraId="08141E2B" w14:textId="77777777" w:rsidR="00034DF2" w:rsidRPr="00034DF2" w:rsidRDefault="00034DF2" w:rsidP="00034DF2">
      <w:pPr>
        <w:ind w:firstLine="0"/>
      </w:pPr>
      <w:r w:rsidRPr="00034DF2">
        <w:t>Professor Phil Gorman</w:t>
      </w:r>
    </w:p>
    <w:p w14:paraId="06D5FB24" w14:textId="285A1471" w:rsidR="00034DF2" w:rsidRPr="00034DF2" w:rsidRDefault="00034DF2" w:rsidP="00034DF2">
      <w:pPr>
        <w:ind w:firstLine="0"/>
      </w:pPr>
      <w:r w:rsidRPr="00034DF2">
        <w:t>BUS 497</w:t>
      </w:r>
      <w:r>
        <w:t>A</w:t>
      </w:r>
      <w:r w:rsidRPr="00034DF2">
        <w:t>-13761-SP2025</w:t>
      </w:r>
    </w:p>
    <w:p w14:paraId="5A104B4D" w14:textId="77777777" w:rsidR="00034DF2" w:rsidRPr="00034DF2" w:rsidRDefault="00034DF2" w:rsidP="00034DF2">
      <w:pPr>
        <w:ind w:firstLine="0"/>
      </w:pPr>
      <w:r w:rsidRPr="00034DF2">
        <w:t>28 March 2025</w:t>
      </w:r>
    </w:p>
    <w:p w14:paraId="63B4CF04" w14:textId="77777777" w:rsidR="00034DF2" w:rsidRPr="00034DF2" w:rsidRDefault="00034DF2" w:rsidP="00034DF2"/>
    <w:p w14:paraId="3E259DCB" w14:textId="77777777" w:rsidR="00034DF2" w:rsidRPr="00034DF2" w:rsidRDefault="00034DF2" w:rsidP="00034DF2">
      <w:pPr>
        <w:jc w:val="center"/>
        <w:rPr>
          <w:b/>
          <w:bCs/>
        </w:rPr>
      </w:pPr>
      <w:r w:rsidRPr="00034DF2">
        <w:rPr>
          <w:b/>
          <w:bCs/>
        </w:rPr>
        <w:t>Strategic Decision and Value Creation</w:t>
      </w:r>
    </w:p>
    <w:p w14:paraId="44233FE6" w14:textId="77777777" w:rsidR="00034DF2" w:rsidRPr="00034DF2" w:rsidRDefault="00034DF2" w:rsidP="00034DF2">
      <w:r w:rsidRPr="00034DF2">
        <w:t>In January 2024, BlackRock announced a $12.5 billion acquisition of Global Infrastructure Partners (GIP), aiming to expand its presence in the private infrastructure investment space. The strategy involves combining BlackRock's existing infrastructure team with GIP's expertise to create a comprehensive infrastructure investing platform. This acquisition targets value creation through multiple synergies: expanding product offerings to clients, leveraging combined expertise in infrastructure investments, and increasing assets under management (AUM) ("BlackRock Completes Acquisition of Global Infrastructure Partners").</w:t>
      </w:r>
    </w:p>
    <w:p w14:paraId="17573B84" w14:textId="77777777" w:rsidR="00034DF2" w:rsidRPr="00034DF2" w:rsidRDefault="00034DF2" w:rsidP="00034DF2">
      <w:r w:rsidRPr="00034DF2">
        <w:t>The organization expects several key benefits:</w:t>
      </w:r>
    </w:p>
    <w:p w14:paraId="0892EC15" w14:textId="77777777" w:rsidR="00034DF2" w:rsidRPr="00034DF2" w:rsidRDefault="00034DF2" w:rsidP="00034DF2">
      <w:pPr>
        <w:numPr>
          <w:ilvl w:val="0"/>
          <w:numId w:val="34"/>
        </w:numPr>
      </w:pPr>
      <w:r w:rsidRPr="00034DF2">
        <w:t>Increase infrastructure AUM to approximately $150 billion ("BlackRock Completes Acquisition of Global Infrastructure Partners")</w:t>
      </w:r>
    </w:p>
    <w:p w14:paraId="07778CCB" w14:textId="77777777" w:rsidR="00034DF2" w:rsidRPr="00034DF2" w:rsidRDefault="00034DF2" w:rsidP="00034DF2">
      <w:pPr>
        <w:numPr>
          <w:ilvl w:val="0"/>
          <w:numId w:val="34"/>
        </w:numPr>
      </w:pPr>
      <w:r w:rsidRPr="00034DF2">
        <w:t>Generate revenue synergies through cross-selling opportunities ("BlackRock Completes Acquisition of Global Infrastructure Partners")</w:t>
      </w:r>
    </w:p>
    <w:p w14:paraId="1060ECD7" w14:textId="77777777" w:rsidR="00034DF2" w:rsidRPr="00034DF2" w:rsidRDefault="00034DF2" w:rsidP="00034DF2">
      <w:pPr>
        <w:numPr>
          <w:ilvl w:val="0"/>
          <w:numId w:val="34"/>
        </w:numPr>
      </w:pPr>
      <w:r w:rsidRPr="00034DF2">
        <w:t>Achieve cost efficiencies through operational integration ("BlackRock Completes Acquisition of Global Infrastructure Partners")</w:t>
      </w:r>
    </w:p>
    <w:p w14:paraId="716AA435" w14:textId="77777777" w:rsidR="00034DF2" w:rsidRPr="00034DF2" w:rsidRDefault="00034DF2" w:rsidP="00034DF2">
      <w:pPr>
        <w:numPr>
          <w:ilvl w:val="0"/>
          <w:numId w:val="34"/>
        </w:numPr>
      </w:pPr>
      <w:r w:rsidRPr="00034DF2">
        <w:t>Enhance deal sourcing capabilities through combined networks ("BlackRock Completes Acquisition of Global Infrastructure Partners")</w:t>
      </w:r>
    </w:p>
    <w:p w14:paraId="78882287" w14:textId="77777777" w:rsidR="00034DF2" w:rsidRDefault="00034DF2" w:rsidP="00034DF2"/>
    <w:p w14:paraId="232A769F" w14:textId="22CEF48A" w:rsidR="00034DF2" w:rsidRPr="00034DF2" w:rsidRDefault="00034DF2" w:rsidP="00034DF2">
      <w:pPr>
        <w:jc w:val="center"/>
        <w:rPr>
          <w:b/>
          <w:bCs/>
        </w:rPr>
      </w:pPr>
      <w:r w:rsidRPr="00034DF2">
        <w:rPr>
          <w:b/>
          <w:bCs/>
        </w:rPr>
        <w:lastRenderedPageBreak/>
        <w:t>Measuring Success</w:t>
      </w:r>
    </w:p>
    <w:p w14:paraId="2F1584DC" w14:textId="77777777" w:rsidR="00034DF2" w:rsidRPr="00034DF2" w:rsidRDefault="00034DF2" w:rsidP="00034DF2">
      <w:r w:rsidRPr="00034DF2">
        <w:t>BlackRock has outlined specific metrics to evaluate the acquisition's success ("BlackRock Completes Acquisition of Global Infrastructure Partners"):</w:t>
      </w:r>
    </w:p>
    <w:p w14:paraId="6796B041" w14:textId="77777777" w:rsidR="00034DF2" w:rsidRPr="00034DF2" w:rsidRDefault="00034DF2" w:rsidP="00034DF2">
      <w:r w:rsidRPr="00034DF2">
        <w:t>Quantitative KPIs:</w:t>
      </w:r>
    </w:p>
    <w:p w14:paraId="1AF4A0A1" w14:textId="77777777" w:rsidR="00034DF2" w:rsidRPr="00034DF2" w:rsidRDefault="00034DF2" w:rsidP="00034DF2">
      <w:pPr>
        <w:numPr>
          <w:ilvl w:val="0"/>
          <w:numId w:val="35"/>
        </w:numPr>
      </w:pPr>
      <w:r w:rsidRPr="00034DF2">
        <w:t>Revenue growth target of $400 million by 2025 ("BlackRock Completes Acquisition of Global Infrastructure Partners")</w:t>
      </w:r>
    </w:p>
    <w:p w14:paraId="35C3135C" w14:textId="77777777" w:rsidR="00034DF2" w:rsidRPr="00034DF2" w:rsidRDefault="00034DF2" w:rsidP="00034DF2">
      <w:pPr>
        <w:numPr>
          <w:ilvl w:val="0"/>
          <w:numId w:val="35"/>
        </w:numPr>
      </w:pPr>
      <w:r w:rsidRPr="00034DF2">
        <w:t>Cost synergies of approximately $130 million annually ("BlackRock Completes Acquisition of Global Infrastructure Partners")</w:t>
      </w:r>
    </w:p>
    <w:p w14:paraId="17CA8638" w14:textId="77777777" w:rsidR="00034DF2" w:rsidRPr="00034DF2" w:rsidRDefault="00034DF2" w:rsidP="00034DF2">
      <w:pPr>
        <w:numPr>
          <w:ilvl w:val="0"/>
          <w:numId w:val="35"/>
        </w:numPr>
      </w:pPr>
      <w:r w:rsidRPr="00034DF2">
        <w:t>Accretion to earnings per share starting in 2025 ("BlackRock Completes Acquisition of Global Infrastructure Partners")</w:t>
      </w:r>
    </w:p>
    <w:p w14:paraId="4F8BC4FF" w14:textId="77777777" w:rsidR="00034DF2" w:rsidRPr="00034DF2" w:rsidRDefault="00034DF2" w:rsidP="00034DF2">
      <w:pPr>
        <w:numPr>
          <w:ilvl w:val="0"/>
          <w:numId w:val="35"/>
        </w:numPr>
      </w:pPr>
      <w:r w:rsidRPr="00034DF2">
        <w:t>Infrastructure AUM growth targets ("BlackRock Completes Acquisition of Global Infrastructure Partners")</w:t>
      </w:r>
    </w:p>
    <w:p w14:paraId="40113C62" w14:textId="77777777" w:rsidR="00034DF2" w:rsidRPr="00034DF2" w:rsidRDefault="00034DF2" w:rsidP="00034DF2">
      <w:pPr>
        <w:numPr>
          <w:ilvl w:val="0"/>
          <w:numId w:val="35"/>
        </w:numPr>
      </w:pPr>
      <w:r w:rsidRPr="00034DF2">
        <w:t>Return on invested capital exceeding cost of capital ("BlackRock Completes Acquisition of Global Infrastructure Partners")</w:t>
      </w:r>
    </w:p>
    <w:p w14:paraId="70465BF5" w14:textId="77777777" w:rsidR="00034DF2" w:rsidRPr="00034DF2" w:rsidRDefault="00034DF2" w:rsidP="00034DF2">
      <w:r w:rsidRPr="00034DF2">
        <w:t>Qualitative Indicators:</w:t>
      </w:r>
    </w:p>
    <w:p w14:paraId="5642B678" w14:textId="77777777" w:rsidR="00034DF2" w:rsidRPr="00034DF2" w:rsidRDefault="00034DF2" w:rsidP="00034DF2">
      <w:pPr>
        <w:numPr>
          <w:ilvl w:val="0"/>
          <w:numId w:val="36"/>
        </w:numPr>
      </w:pPr>
      <w:r w:rsidRPr="00034DF2">
        <w:t>Client retention rates post-merger ("BlackRock Completes Acquisition of Global Infrastructure Partners")</w:t>
      </w:r>
    </w:p>
    <w:p w14:paraId="585F0C28" w14:textId="77777777" w:rsidR="00034DF2" w:rsidRPr="00034DF2" w:rsidRDefault="00034DF2" w:rsidP="00034DF2">
      <w:pPr>
        <w:numPr>
          <w:ilvl w:val="0"/>
          <w:numId w:val="36"/>
        </w:numPr>
      </w:pPr>
      <w:r w:rsidRPr="00034DF2">
        <w:t>Success in winning larger infrastructure mandates ("BlackRock Completes Acquisition of Global Infrastructure Partners")</w:t>
      </w:r>
    </w:p>
    <w:p w14:paraId="51625051" w14:textId="77777777" w:rsidR="00034DF2" w:rsidRPr="00034DF2" w:rsidRDefault="00034DF2" w:rsidP="00034DF2">
      <w:pPr>
        <w:numPr>
          <w:ilvl w:val="0"/>
          <w:numId w:val="36"/>
        </w:numPr>
      </w:pPr>
      <w:r w:rsidRPr="00034DF2">
        <w:t>Geographic expansion in key markets ("BlackRock Completes Acquisition of Global Infrastructure Partners")</w:t>
      </w:r>
    </w:p>
    <w:p w14:paraId="43B021F2" w14:textId="77777777" w:rsidR="00034DF2" w:rsidRPr="00034DF2" w:rsidRDefault="00034DF2" w:rsidP="00034DF2">
      <w:pPr>
        <w:numPr>
          <w:ilvl w:val="0"/>
          <w:numId w:val="36"/>
        </w:numPr>
      </w:pPr>
      <w:r w:rsidRPr="00034DF2">
        <w:t>Talent retention, particularly of key GIP personnel ("BlackRock Completes Acquisition of Global Infrastructure Partners")</w:t>
      </w:r>
    </w:p>
    <w:p w14:paraId="571317AE" w14:textId="77777777" w:rsidR="00034DF2" w:rsidRPr="00034DF2" w:rsidRDefault="00034DF2" w:rsidP="00034DF2">
      <w:pPr>
        <w:jc w:val="center"/>
        <w:rPr>
          <w:b/>
          <w:bCs/>
        </w:rPr>
      </w:pPr>
      <w:r w:rsidRPr="00034DF2">
        <w:rPr>
          <w:b/>
          <w:bCs/>
        </w:rPr>
        <w:lastRenderedPageBreak/>
        <w:t>Critical Analysis</w:t>
      </w:r>
    </w:p>
    <w:p w14:paraId="12805517" w14:textId="77777777" w:rsidR="00034DF2" w:rsidRPr="00034DF2" w:rsidRDefault="00034DF2" w:rsidP="00034DF2">
      <w:r w:rsidRPr="00034DF2">
        <w:t>While the strategic rationale is sound, several challenges could impact synergy realization ("BlackRock Completes Acquisition of Global Infrastructure Partners"):</w:t>
      </w:r>
    </w:p>
    <w:p w14:paraId="604D15E4" w14:textId="77777777" w:rsidR="00034DF2" w:rsidRPr="00034DF2" w:rsidRDefault="00034DF2" w:rsidP="00034DF2">
      <w:pPr>
        <w:numPr>
          <w:ilvl w:val="0"/>
          <w:numId w:val="37"/>
        </w:numPr>
      </w:pPr>
      <w:r w:rsidRPr="00034DF2">
        <w:t>Integration risks between different corporate cultures ("BlackRock Completes Acquisition of Global Infrastructure Partners")</w:t>
      </w:r>
    </w:p>
    <w:p w14:paraId="084DB10F" w14:textId="77777777" w:rsidR="00034DF2" w:rsidRPr="00034DF2" w:rsidRDefault="00034DF2" w:rsidP="00034DF2">
      <w:pPr>
        <w:numPr>
          <w:ilvl w:val="0"/>
          <w:numId w:val="37"/>
        </w:numPr>
      </w:pPr>
      <w:r w:rsidRPr="00034DF2">
        <w:t xml:space="preserve">Potential </w:t>
      </w:r>
      <w:proofErr w:type="gramStart"/>
      <w:r w:rsidRPr="00034DF2">
        <w:t>client</w:t>
      </w:r>
      <w:proofErr w:type="gramEnd"/>
      <w:r w:rsidRPr="00034DF2">
        <w:t xml:space="preserve"> </w:t>
      </w:r>
      <w:proofErr w:type="gramStart"/>
      <w:r w:rsidRPr="00034DF2">
        <w:t>overlap</w:t>
      </w:r>
      <w:proofErr w:type="gramEnd"/>
      <w:r w:rsidRPr="00034DF2">
        <w:t xml:space="preserve"> and revenue synergy overestimation ("BlackRock Completes Acquisition of Global Infrastructure Partners")</w:t>
      </w:r>
    </w:p>
    <w:p w14:paraId="278E4F23" w14:textId="77777777" w:rsidR="00034DF2" w:rsidRPr="00034DF2" w:rsidRDefault="00034DF2" w:rsidP="00034DF2">
      <w:pPr>
        <w:numPr>
          <w:ilvl w:val="0"/>
          <w:numId w:val="37"/>
        </w:numPr>
      </w:pPr>
      <w:r w:rsidRPr="00034DF2">
        <w:t>Regulatory hurdles in multiple jurisdictions ("BlackRock Completes Acquisition of Global Infrastructure Partners")</w:t>
      </w:r>
    </w:p>
    <w:p w14:paraId="197EBE85" w14:textId="77777777" w:rsidR="00034DF2" w:rsidRPr="00034DF2" w:rsidRDefault="00034DF2" w:rsidP="00034DF2">
      <w:pPr>
        <w:numPr>
          <w:ilvl w:val="0"/>
          <w:numId w:val="37"/>
        </w:numPr>
      </w:pPr>
      <w:r w:rsidRPr="00034DF2">
        <w:t>Market competition affecting deal flow ("BlackRock Completes Acquisition of Global Infrastructure Partners")</w:t>
      </w:r>
    </w:p>
    <w:p w14:paraId="2E5FAEC3" w14:textId="77777777" w:rsidR="00034DF2" w:rsidRPr="00034DF2" w:rsidRDefault="00034DF2" w:rsidP="00034DF2">
      <w:pPr>
        <w:jc w:val="center"/>
        <w:rPr>
          <w:b/>
          <w:bCs/>
        </w:rPr>
      </w:pPr>
      <w:r w:rsidRPr="00034DF2">
        <w:rPr>
          <w:b/>
          <w:bCs/>
        </w:rPr>
        <w:t>Conclusion</w:t>
      </w:r>
    </w:p>
    <w:p w14:paraId="54F816F4" w14:textId="6D6AB02D" w:rsidR="00034DF2" w:rsidRPr="00034DF2" w:rsidRDefault="00034DF2" w:rsidP="00034DF2">
      <w:r w:rsidRPr="00034DF2">
        <w:t xml:space="preserve">In conclusion, BlackRock's acquisition of Global Infrastructure Partners represents a significant strategic move to enhance </w:t>
      </w:r>
      <w:r>
        <w:t>the</w:t>
      </w:r>
      <w:r w:rsidRPr="00034DF2">
        <w:t xml:space="preserve"> infrastructure</w:t>
      </w:r>
      <w:r>
        <w:t xml:space="preserve"> of its</w:t>
      </w:r>
      <w:r w:rsidRPr="00034DF2">
        <w:t xml:space="preserve"> investment capabilities. The synergies and value creation opportunities are promising</w:t>
      </w:r>
      <w:r>
        <w:t>, especially</w:t>
      </w:r>
      <w:r w:rsidRPr="00034DF2">
        <w:t xml:space="preserve"> with</w:t>
      </w:r>
      <w:r>
        <w:t xml:space="preserve"> the very</w:t>
      </w:r>
      <w:r w:rsidRPr="00034DF2">
        <w:t xml:space="preserve"> clear</w:t>
      </w:r>
      <w:r>
        <w:t xml:space="preserve">ly defined </w:t>
      </w:r>
      <w:r w:rsidRPr="00034DF2">
        <w:t>quantitative and qualitative metrics</w:t>
      </w:r>
      <w:r>
        <w:t xml:space="preserve"> they use</w:t>
      </w:r>
      <w:r w:rsidRPr="00034DF2">
        <w:t xml:space="preserve"> </w:t>
      </w:r>
      <w:r>
        <w:t xml:space="preserve">to set and </w:t>
      </w:r>
      <w:r w:rsidRPr="00034DF2">
        <w:t xml:space="preserve">measure success. </w:t>
      </w:r>
      <w:r>
        <w:t xml:space="preserve">Although </w:t>
      </w:r>
      <w:r w:rsidRPr="00034DF2">
        <w:t>the realization of these synergies will depend on effective integration and management of potential challenge</w:t>
      </w:r>
      <w:r>
        <w:t>s, BlackRock seems up to the task</w:t>
      </w:r>
      <w:r w:rsidRPr="00034DF2">
        <w:t xml:space="preserve">. </w:t>
      </w:r>
      <w:r>
        <w:t xml:space="preserve">When </w:t>
      </w:r>
      <w:r w:rsidRPr="00034DF2">
        <w:t>BlackRock navigate</w:t>
      </w:r>
      <w:r>
        <w:t>s</w:t>
      </w:r>
      <w:r w:rsidRPr="00034DF2">
        <w:t xml:space="preserve"> these hurdles, the acquisition </w:t>
      </w:r>
      <w:r>
        <w:t>will</w:t>
      </w:r>
      <w:r w:rsidRPr="00034DF2">
        <w:t xml:space="preserve"> position the company as a leading player in the global infrastructure investment space</w:t>
      </w:r>
      <w:r>
        <w:t xml:space="preserve"> even more than it already is, which is saying something—because, you know, it's BlackRock.</w:t>
      </w:r>
    </w:p>
    <w:p w14:paraId="14D9A218" w14:textId="77777777" w:rsidR="00034DF2" w:rsidRPr="00034DF2" w:rsidRDefault="00034DF2" w:rsidP="00034DF2">
      <w:pPr>
        <w:jc w:val="center"/>
        <w:rPr>
          <w:b/>
          <w:bCs/>
        </w:rPr>
      </w:pPr>
      <w:r w:rsidRPr="00034DF2">
        <w:rPr>
          <w:b/>
          <w:bCs/>
        </w:rPr>
        <w:t>Works Cited</w:t>
      </w:r>
    </w:p>
    <w:p w14:paraId="3E612F0E" w14:textId="30F5ACC1" w:rsidR="00080C97" w:rsidRPr="00034DF2" w:rsidRDefault="00034DF2" w:rsidP="00034DF2">
      <w:r w:rsidRPr="00034DF2">
        <w:t>"BlackRock Completes Acquisition of Global Infrastructure Partners." BlackRock, 12 Jan. 2024, </w:t>
      </w:r>
      <w:hyperlink r:id="rId9" w:history="1">
        <w:r w:rsidRPr="00034DF2">
          <w:rPr>
            <w:rStyle w:val="Hyperlink"/>
          </w:rPr>
          <w:t>https://s24.q4cdn.com/856567660/files/doc_events/2024/BLK-GIP-Press-Release.pdf</w:t>
        </w:r>
      </w:hyperlink>
      <w:r>
        <w:t xml:space="preserve"> </w:t>
      </w:r>
    </w:p>
    <w:sectPr w:rsidR="00080C97" w:rsidRPr="00034DF2">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E04CA7" w14:textId="77777777" w:rsidR="00D74725" w:rsidRDefault="00D74725">
      <w:pPr>
        <w:spacing w:line="240" w:lineRule="auto"/>
      </w:pPr>
      <w:r>
        <w:separator/>
      </w:r>
    </w:p>
  </w:endnote>
  <w:endnote w:type="continuationSeparator" w:id="0">
    <w:p w14:paraId="509CA16F" w14:textId="77777777" w:rsidR="00D74725" w:rsidRDefault="00D747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BE1513" w14:textId="77777777" w:rsidR="00D74725" w:rsidRDefault="00D74725">
      <w:pPr>
        <w:spacing w:line="240" w:lineRule="auto"/>
      </w:pPr>
      <w:r>
        <w:separator/>
      </w:r>
    </w:p>
  </w:footnote>
  <w:footnote w:type="continuationSeparator" w:id="0">
    <w:p w14:paraId="312B472A" w14:textId="77777777" w:rsidR="00D74725" w:rsidRDefault="00D747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9461F" w14:textId="06FEF0E1" w:rsidR="00080C97" w:rsidRDefault="00000000">
    <w:pPr>
      <w:pStyle w:val="Header"/>
    </w:pPr>
    <w:sdt>
      <w:sdtPr>
        <w:alias w:val="Last Name:"/>
        <w:tag w:val="Last Name:"/>
        <w:id w:val="1658178901"/>
        <w:placeholder>
          <w:docPart w:val="300AB441F0B64FFFAAC1D4437F8445DA"/>
        </w:placeholder>
        <w:dataBinding w:prefixMappings="xmlns:ns0='http://schemas.microsoft.com/office/2006/coverPageProps' " w:xpath="/ns0:CoverPageProperties[1]/ns0:Abstract[1]" w:storeItemID="{55AF091B-3C7A-41E3-B477-F2FDAA23CFDA}"/>
        <w15:appearance w15:val="hidden"/>
        <w:text/>
      </w:sdtPr>
      <w:sdtContent>
        <w:r w:rsidR="004C6DC9">
          <w:t>Keith</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4433AA" w14:textId="6C448047" w:rsidR="00080C97" w:rsidRDefault="00000000">
    <w:pPr>
      <w:pStyle w:val="Header"/>
    </w:pPr>
    <w:sdt>
      <w:sdtPr>
        <w:alias w:val="Last Name:"/>
        <w:tag w:val="Last Name:"/>
        <w:id w:val="-348181431"/>
        <w:placeholder>
          <w:docPart w:val="9D718534E8C14E65B7F699FA12ADD80D"/>
        </w:placeholder>
        <w:dataBinding w:prefixMappings="xmlns:ns0='http://schemas.microsoft.com/office/2006/coverPageProps' " w:xpath="/ns0:CoverPageProperties[1]/ns0:Abstract[1]" w:storeItemID="{55AF091B-3C7A-41E3-B477-F2FDAA23CFDA}"/>
        <w15:appearance w15:val="hidden"/>
        <w:text/>
      </w:sdtPr>
      <w:sdtContent>
        <w:r w:rsidR="004C6DC9">
          <w:t>Keith</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3633BC"/>
    <w:multiLevelType w:val="multilevel"/>
    <w:tmpl w:val="BECE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F71146"/>
    <w:multiLevelType w:val="multilevel"/>
    <w:tmpl w:val="33B8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0B4DB9"/>
    <w:multiLevelType w:val="multilevel"/>
    <w:tmpl w:val="33B8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5C60D5"/>
    <w:multiLevelType w:val="multilevel"/>
    <w:tmpl w:val="33B8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1C445A"/>
    <w:multiLevelType w:val="multilevel"/>
    <w:tmpl w:val="07CEE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AAD0378"/>
    <w:multiLevelType w:val="multilevel"/>
    <w:tmpl w:val="898A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3DE83388"/>
    <w:multiLevelType w:val="multilevel"/>
    <w:tmpl w:val="33B8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107AA1"/>
    <w:multiLevelType w:val="multilevel"/>
    <w:tmpl w:val="33B8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2915E1"/>
    <w:multiLevelType w:val="multilevel"/>
    <w:tmpl w:val="33B8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5A6F4B"/>
    <w:multiLevelType w:val="multilevel"/>
    <w:tmpl w:val="AEA4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5F0B0C"/>
    <w:multiLevelType w:val="multilevel"/>
    <w:tmpl w:val="F46E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024F73"/>
    <w:multiLevelType w:val="multilevel"/>
    <w:tmpl w:val="33B8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1B6667"/>
    <w:multiLevelType w:val="multilevel"/>
    <w:tmpl w:val="33B8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A91156"/>
    <w:multiLevelType w:val="multilevel"/>
    <w:tmpl w:val="33B8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321095"/>
    <w:multiLevelType w:val="multilevel"/>
    <w:tmpl w:val="33B8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B1B5787"/>
    <w:multiLevelType w:val="multilevel"/>
    <w:tmpl w:val="4572ABF8"/>
    <w:numStyleLink w:val="MLAOutline"/>
  </w:abstractNum>
  <w:abstractNum w:abstractNumId="31"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F7A276F"/>
    <w:multiLevelType w:val="multilevel"/>
    <w:tmpl w:val="33B8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C97424"/>
    <w:multiLevelType w:val="multilevel"/>
    <w:tmpl w:val="33B8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342FC4"/>
    <w:multiLevelType w:val="multilevel"/>
    <w:tmpl w:val="33B8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2E3472"/>
    <w:multiLevelType w:val="multilevel"/>
    <w:tmpl w:val="7B18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C40891"/>
    <w:multiLevelType w:val="multilevel"/>
    <w:tmpl w:val="C57C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6040874">
    <w:abstractNumId w:val="9"/>
  </w:num>
  <w:num w:numId="2" w16cid:durableId="993608957">
    <w:abstractNumId w:val="7"/>
  </w:num>
  <w:num w:numId="3" w16cid:durableId="1800762360">
    <w:abstractNumId w:val="6"/>
  </w:num>
  <w:num w:numId="4" w16cid:durableId="1075905549">
    <w:abstractNumId w:val="5"/>
  </w:num>
  <w:num w:numId="5" w16cid:durableId="1359743777">
    <w:abstractNumId w:val="4"/>
  </w:num>
  <w:num w:numId="6" w16cid:durableId="1851916483">
    <w:abstractNumId w:val="8"/>
  </w:num>
  <w:num w:numId="7" w16cid:durableId="2033456980">
    <w:abstractNumId w:val="3"/>
  </w:num>
  <w:num w:numId="8" w16cid:durableId="1054620843">
    <w:abstractNumId w:val="2"/>
  </w:num>
  <w:num w:numId="9" w16cid:durableId="1079447392">
    <w:abstractNumId w:val="1"/>
  </w:num>
  <w:num w:numId="10" w16cid:durableId="866679484">
    <w:abstractNumId w:val="0"/>
  </w:num>
  <w:num w:numId="11" w16cid:durableId="474223100">
    <w:abstractNumId w:val="17"/>
  </w:num>
  <w:num w:numId="12" w16cid:durableId="2111200477">
    <w:abstractNumId w:val="29"/>
  </w:num>
  <w:num w:numId="13" w16cid:durableId="1325354719">
    <w:abstractNumId w:val="30"/>
  </w:num>
  <w:num w:numId="14" w16cid:durableId="1882983150">
    <w:abstractNumId w:val="25"/>
  </w:num>
  <w:num w:numId="15" w16cid:durableId="1243951477">
    <w:abstractNumId w:val="15"/>
  </w:num>
  <w:num w:numId="16" w16cid:durableId="160700270">
    <w:abstractNumId w:val="18"/>
  </w:num>
  <w:num w:numId="17" w16cid:durableId="1669209428">
    <w:abstractNumId w:val="31"/>
  </w:num>
  <w:num w:numId="18" w16cid:durableId="889540614">
    <w:abstractNumId w:val="14"/>
  </w:num>
  <w:num w:numId="19" w16cid:durableId="1459252260">
    <w:abstractNumId w:val="22"/>
  </w:num>
  <w:num w:numId="20" w16cid:durableId="897547374">
    <w:abstractNumId w:val="35"/>
  </w:num>
  <w:num w:numId="21" w16cid:durableId="114570682">
    <w:abstractNumId w:val="16"/>
  </w:num>
  <w:num w:numId="22" w16cid:durableId="1349982434">
    <w:abstractNumId w:val="19"/>
  </w:num>
  <w:num w:numId="23" w16cid:durableId="1482693303">
    <w:abstractNumId w:val="23"/>
  </w:num>
  <w:num w:numId="24" w16cid:durableId="73167455">
    <w:abstractNumId w:val="10"/>
  </w:num>
  <w:num w:numId="25" w16cid:durableId="1056785013">
    <w:abstractNumId w:val="36"/>
  </w:num>
  <w:num w:numId="26" w16cid:durableId="870147051">
    <w:abstractNumId w:val="34"/>
  </w:num>
  <w:num w:numId="27" w16cid:durableId="1662545101">
    <w:abstractNumId w:val="26"/>
  </w:num>
  <w:num w:numId="28" w16cid:durableId="1142577169">
    <w:abstractNumId w:val="21"/>
  </w:num>
  <w:num w:numId="29" w16cid:durableId="1478453483">
    <w:abstractNumId w:val="32"/>
  </w:num>
  <w:num w:numId="30" w16cid:durableId="183636883">
    <w:abstractNumId w:val="13"/>
  </w:num>
  <w:num w:numId="31" w16cid:durableId="1418556214">
    <w:abstractNumId w:val="27"/>
  </w:num>
  <w:num w:numId="32" w16cid:durableId="1268856443">
    <w:abstractNumId w:val="11"/>
  </w:num>
  <w:num w:numId="33" w16cid:durableId="1548294750">
    <w:abstractNumId w:val="33"/>
  </w:num>
  <w:num w:numId="34" w16cid:durableId="1146773948">
    <w:abstractNumId w:val="28"/>
  </w:num>
  <w:num w:numId="35" w16cid:durableId="888685941">
    <w:abstractNumId w:val="20"/>
  </w:num>
  <w:num w:numId="36" w16cid:durableId="1064641751">
    <w:abstractNumId w:val="24"/>
  </w:num>
  <w:num w:numId="37" w16cid:durableId="18776169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DC9"/>
    <w:rsid w:val="0001005C"/>
    <w:rsid w:val="00034DF2"/>
    <w:rsid w:val="00080C97"/>
    <w:rsid w:val="001C5AD4"/>
    <w:rsid w:val="0034643D"/>
    <w:rsid w:val="003E748F"/>
    <w:rsid w:val="004C6DC9"/>
    <w:rsid w:val="006A64A8"/>
    <w:rsid w:val="007D4B2F"/>
    <w:rsid w:val="00860D35"/>
    <w:rsid w:val="008759A7"/>
    <w:rsid w:val="008D7290"/>
    <w:rsid w:val="00965112"/>
    <w:rsid w:val="009D2A7D"/>
    <w:rsid w:val="00AB1E45"/>
    <w:rsid w:val="00B82F8F"/>
    <w:rsid w:val="00BD3A4E"/>
    <w:rsid w:val="00C26420"/>
    <w:rsid w:val="00D74725"/>
    <w:rsid w:val="00EC2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A65CF7"/>
  <w15:chartTrackingRefBased/>
  <w15:docId w15:val="{3865A141-20A0-48FF-B2C7-DF0727B3E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Strong">
    <w:name w:val="Strong"/>
    <w:basedOn w:val="DefaultParagraphFont"/>
    <w:uiPriority w:val="22"/>
    <w:qFormat/>
    <w:rsid w:val="004C6DC9"/>
    <w:rPr>
      <w:b/>
      <w:bCs/>
    </w:rPr>
  </w:style>
  <w:style w:type="character" w:styleId="Hyperlink">
    <w:name w:val="Hyperlink"/>
    <w:basedOn w:val="DefaultParagraphFont"/>
    <w:uiPriority w:val="99"/>
    <w:unhideWhenUsed/>
    <w:rsid w:val="001C5AD4"/>
    <w:rPr>
      <w:color w:val="5F5F5F" w:themeColor="hyperlink"/>
      <w:u w:val="single"/>
    </w:rPr>
  </w:style>
  <w:style w:type="character" w:styleId="UnresolvedMention">
    <w:name w:val="Unresolved Mention"/>
    <w:basedOn w:val="DefaultParagraphFont"/>
    <w:uiPriority w:val="99"/>
    <w:semiHidden/>
    <w:unhideWhenUsed/>
    <w:rsid w:val="001C5AD4"/>
    <w:rPr>
      <w:color w:val="605E5C"/>
      <w:shd w:val="clear" w:color="auto" w:fill="E1DFDD"/>
    </w:rPr>
  </w:style>
  <w:style w:type="paragraph" w:styleId="ListParagraph">
    <w:name w:val="List Paragraph"/>
    <w:basedOn w:val="Normal"/>
    <w:uiPriority w:val="34"/>
    <w:unhideWhenUsed/>
    <w:qFormat/>
    <w:rsid w:val="001C5A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00538862">
      <w:marLeft w:val="0"/>
      <w:marRight w:val="0"/>
      <w:marTop w:val="0"/>
      <w:marBottom w:val="0"/>
      <w:divBdr>
        <w:top w:val="none" w:sz="0" w:space="0" w:color="auto"/>
        <w:left w:val="none" w:sz="0" w:space="0" w:color="auto"/>
        <w:bottom w:val="none" w:sz="0" w:space="0" w:color="auto"/>
        <w:right w:val="none" w:sz="0" w:space="0" w:color="auto"/>
      </w:divBdr>
    </w:div>
    <w:div w:id="862480713">
      <w:marLeft w:val="0"/>
      <w:marRight w:val="0"/>
      <w:marTop w:val="0"/>
      <w:marBottom w:val="0"/>
      <w:divBdr>
        <w:top w:val="none" w:sz="0" w:space="0" w:color="auto"/>
        <w:left w:val="none" w:sz="0" w:space="0" w:color="auto"/>
        <w:bottom w:val="none" w:sz="0" w:space="0" w:color="auto"/>
        <w:right w:val="none" w:sz="0" w:space="0" w:color="auto"/>
      </w:divBdr>
    </w:div>
    <w:div w:id="917788272">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71770385">
      <w:marLeft w:val="0"/>
      <w:marRight w:val="0"/>
      <w:marTop w:val="0"/>
      <w:marBottom w:val="0"/>
      <w:divBdr>
        <w:top w:val="none" w:sz="0" w:space="0" w:color="auto"/>
        <w:left w:val="none" w:sz="0" w:space="0" w:color="auto"/>
        <w:bottom w:val="none" w:sz="0" w:space="0" w:color="auto"/>
        <w:right w:val="none" w:sz="0" w:space="0" w:color="auto"/>
      </w:divBdr>
      <w:divsChild>
        <w:div w:id="711807935">
          <w:marLeft w:val="0"/>
          <w:marRight w:val="0"/>
          <w:marTop w:val="0"/>
          <w:marBottom w:val="0"/>
          <w:divBdr>
            <w:top w:val="none" w:sz="0" w:space="0" w:color="auto"/>
            <w:left w:val="none" w:sz="0" w:space="0" w:color="auto"/>
            <w:bottom w:val="none" w:sz="0" w:space="0" w:color="auto"/>
            <w:right w:val="none" w:sz="0" w:space="0" w:color="auto"/>
          </w:divBdr>
        </w:div>
        <w:div w:id="1695111305">
          <w:marLeft w:val="0"/>
          <w:marRight w:val="0"/>
          <w:marTop w:val="0"/>
          <w:marBottom w:val="0"/>
          <w:divBdr>
            <w:top w:val="none" w:sz="0" w:space="0" w:color="auto"/>
            <w:left w:val="none" w:sz="0" w:space="0" w:color="auto"/>
            <w:bottom w:val="none" w:sz="0" w:space="0" w:color="auto"/>
            <w:right w:val="none" w:sz="0" w:space="0" w:color="auto"/>
          </w:divBdr>
        </w:div>
      </w:divsChild>
    </w:div>
    <w:div w:id="159778966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59716834">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s24.q4cdn.com/856567660/files/doc_events/2024/BLK-GIP-Press-Release.pdf"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dp\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D718534E8C14E65B7F699FA12ADD80D"/>
        <w:category>
          <w:name w:val="General"/>
          <w:gallery w:val="placeholder"/>
        </w:category>
        <w:types>
          <w:type w:val="bbPlcHdr"/>
        </w:types>
        <w:behaviors>
          <w:behavior w:val="content"/>
        </w:behaviors>
        <w:guid w:val="{68887CE3-D031-438B-9B96-FED6BB0140EE}"/>
      </w:docPartPr>
      <w:docPartBody>
        <w:p w:rsidR="00523C9F" w:rsidRDefault="00000000">
          <w:pPr>
            <w:pStyle w:val="9D718534E8C14E65B7F699FA12ADD80D"/>
          </w:pPr>
          <w:r>
            <w:t>Table data</w:t>
          </w:r>
        </w:p>
      </w:docPartBody>
    </w:docPart>
    <w:docPart>
      <w:docPartPr>
        <w:name w:val="300AB441F0B64FFFAAC1D4437F8445DA"/>
        <w:category>
          <w:name w:val="General"/>
          <w:gallery w:val="placeholder"/>
        </w:category>
        <w:types>
          <w:type w:val="bbPlcHdr"/>
        </w:types>
        <w:behaviors>
          <w:behavior w:val="content"/>
        </w:behaviors>
        <w:guid w:val="{505182ED-EFB4-4249-9B70-8E7B050B2C35}"/>
      </w:docPartPr>
      <w:docPartBody>
        <w:p w:rsidR="00523C9F" w:rsidRDefault="00000000">
          <w:pPr>
            <w:pStyle w:val="300AB441F0B64FFFAAC1D4437F8445DA"/>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967"/>
    <w:rsid w:val="00230967"/>
    <w:rsid w:val="00523C9F"/>
    <w:rsid w:val="007A38D3"/>
    <w:rsid w:val="008D7290"/>
    <w:rsid w:val="009D2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9D718534E8C14E65B7F699FA12ADD80D">
    <w:name w:val="9D718534E8C14E65B7F699FA12ADD80D"/>
  </w:style>
  <w:style w:type="paragraph" w:customStyle="1" w:styleId="300AB441F0B64FFFAAC1D4437F8445DA">
    <w:name w:val="300AB441F0B64FFFAAC1D4437F8445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Keith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1</TotalTime>
  <Pages>3</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Keith</dc:creator>
  <cp:keywords/>
  <dc:description/>
  <cp:lastModifiedBy>Chad Keith</cp:lastModifiedBy>
  <cp:revision>2</cp:revision>
  <dcterms:created xsi:type="dcterms:W3CDTF">2025-05-10T06:41:00Z</dcterms:created>
  <dcterms:modified xsi:type="dcterms:W3CDTF">2025-05-10T06:41:00Z</dcterms:modified>
</cp:coreProperties>
</file>