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9C3B" w14:textId="77777777" w:rsidR="0044464D" w:rsidRDefault="0044464D" w:rsidP="0044464D">
      <w:r>
        <w:t xml:space="preserve">Chad Keith  </w:t>
      </w:r>
    </w:p>
    <w:p w14:paraId="5F3A41EC" w14:textId="77777777" w:rsidR="0044464D" w:rsidRDefault="0044464D" w:rsidP="0044464D">
      <w:r>
        <w:t xml:space="preserve">Professor Phil Gorman  </w:t>
      </w:r>
    </w:p>
    <w:p w14:paraId="58FFF2CE" w14:textId="77777777" w:rsidR="0044464D" w:rsidRDefault="0044464D" w:rsidP="0044464D">
      <w:r>
        <w:t xml:space="preserve">BUS 497A-13761-SP2025 – Capstone: Strategic Management  </w:t>
      </w:r>
    </w:p>
    <w:p w14:paraId="6E12B8ED" w14:textId="77777777" w:rsidR="0044464D" w:rsidRDefault="0044464D" w:rsidP="0044464D">
      <w:r>
        <w:t xml:space="preserve">9 May 2025  </w:t>
      </w:r>
    </w:p>
    <w:p w14:paraId="5F4D521C" w14:textId="77777777" w:rsidR="0044464D" w:rsidRDefault="0044464D" w:rsidP="0044464D"/>
    <w:p w14:paraId="0FC47D13" w14:textId="22AC5A98" w:rsidR="0044464D" w:rsidRPr="0044464D" w:rsidRDefault="0044464D" w:rsidP="0044464D">
      <w:pPr>
        <w:tabs>
          <w:tab w:val="left" w:pos="8406"/>
        </w:tabs>
        <w:jc w:val="center"/>
        <w:rPr>
          <w:b/>
          <w:bCs/>
        </w:rPr>
      </w:pPr>
      <w:r w:rsidRPr="0044464D">
        <w:rPr>
          <w:b/>
          <w:bCs/>
        </w:rPr>
        <w:t xml:space="preserve">Business Strategy Analysis: </w:t>
      </w:r>
      <w:proofErr w:type="spellStart"/>
      <w:r w:rsidRPr="0044464D">
        <w:rPr>
          <w:b/>
          <w:bCs/>
        </w:rPr>
        <w:t>Quanterix</w:t>
      </w:r>
      <w:proofErr w:type="spellEnd"/>
      <w:r w:rsidRPr="0044464D">
        <w:rPr>
          <w:b/>
          <w:bCs/>
        </w:rPr>
        <w:t xml:space="preserve"> Corporation’s Niche Differentiation</w:t>
      </w:r>
    </w:p>
    <w:p w14:paraId="6027B19A" w14:textId="77777777" w:rsidR="0044464D" w:rsidRDefault="0044464D" w:rsidP="0044464D">
      <w:r>
        <w:t xml:space="preserve">From a </w:t>
      </w:r>
      <w:r>
        <w:t>strategic management perspective</w:t>
      </w:r>
      <w:r>
        <w:t xml:space="preserve">, evaluating a company’s competitive strategy involves placing it within Porter’s generic business strategies and assessing its resources for </w:t>
      </w:r>
      <w:r>
        <w:t xml:space="preserve">a </w:t>
      </w:r>
      <w:r>
        <w:t>sustainable</w:t>
      </w:r>
      <w:r>
        <w:t>,</w:t>
      </w:r>
      <w:r>
        <w:t xml:space="preserve"> competitive advantage. </w:t>
      </w:r>
    </w:p>
    <w:p w14:paraId="7FFEFF6A" w14:textId="6A170C05" w:rsidR="0044464D" w:rsidRDefault="0044464D" w:rsidP="0044464D">
      <w:proofErr w:type="spellStart"/>
      <w:r>
        <w:t>Quanterix</w:t>
      </w:r>
      <w:proofErr w:type="spellEnd"/>
      <w:r>
        <w:t xml:space="preserve"> Corporation, a </w:t>
      </w:r>
      <w:r>
        <w:t>lesser known</w:t>
      </w:r>
      <w:r>
        <w:t xml:space="preserve"> </w:t>
      </w:r>
      <w:r>
        <w:t>(</w:t>
      </w:r>
      <w:r>
        <w:t xml:space="preserve">but </w:t>
      </w:r>
      <w:r>
        <w:t xml:space="preserve">still </w:t>
      </w:r>
      <w:r>
        <w:t>innovative</w:t>
      </w:r>
      <w:r>
        <w:t>)</w:t>
      </w:r>
      <w:r>
        <w:t xml:space="preserve"> life sciences company</w:t>
      </w:r>
      <w:r>
        <w:t>,</w:t>
      </w:r>
      <w:r>
        <w:t xml:space="preserve"> based in Billerica, Massachusetts, offers a thought-provoking case of strategic positioning in niche markets. This analysis draws from information provided on their official website</w:t>
      </w:r>
      <w:r>
        <w:t>,</w:t>
      </w:r>
      <w:r>
        <w:t xml:space="preserve"> and detailed in an article about their technology and market approach</w:t>
      </w:r>
      <w:r>
        <w:t xml:space="preserve">, located at: </w:t>
      </w:r>
      <w:hyperlink r:id="rId7" w:history="1">
        <w:r w:rsidRPr="009848EA">
          <w:rPr>
            <w:rStyle w:val="Hyperlink"/>
          </w:rPr>
          <w:t>https://www.fiercebiotech.com/medtech/quanterix-eyes-continued-growth-single-molecule-tech-blood-based-biomarkers</w:t>
        </w:r>
      </w:hyperlink>
      <w:r>
        <w:t xml:space="preserve"> </w:t>
      </w:r>
    </w:p>
    <w:p w14:paraId="74998A94" w14:textId="77777777" w:rsidR="0044464D" w:rsidRDefault="0044464D" w:rsidP="0044464D"/>
    <w:p w14:paraId="41664062" w14:textId="3A9C8BCF" w:rsidR="0044464D" w:rsidRPr="0044464D" w:rsidRDefault="0044464D" w:rsidP="0044464D">
      <w:pPr>
        <w:jc w:val="center"/>
        <w:rPr>
          <w:b/>
          <w:bCs/>
        </w:rPr>
      </w:pPr>
      <w:r w:rsidRPr="0044464D">
        <w:rPr>
          <w:b/>
          <w:bCs/>
        </w:rPr>
        <w:t>Generic Business Strategy</w:t>
      </w:r>
    </w:p>
    <w:p w14:paraId="5E2A50D9" w14:textId="77777777" w:rsidR="0044464D" w:rsidRDefault="0044464D" w:rsidP="0044464D">
      <w:proofErr w:type="spellStart"/>
      <w:r>
        <w:t>Quanterix</w:t>
      </w:r>
      <w:proofErr w:type="spellEnd"/>
      <w:r>
        <w:t xml:space="preserve"> aligns with the </w:t>
      </w:r>
      <w:r w:rsidRPr="0044464D">
        <w:rPr>
          <w:b/>
          <w:bCs/>
        </w:rPr>
        <w:t>Differentiation Focus Strategy</w:t>
      </w:r>
      <w:r>
        <w:t xml:space="preserve"> among Porter’s four generic business strategies </w:t>
      </w:r>
      <w:r w:rsidRPr="0044464D">
        <w:rPr>
          <w:i/>
          <w:iCs/>
        </w:rPr>
        <w:t xml:space="preserve">(cost leadership, differentiation, cost focus, and </w:t>
      </w:r>
      <w:r w:rsidRPr="0044464D">
        <w:rPr>
          <w:i/>
          <w:iCs/>
          <w:u w:val="single"/>
        </w:rPr>
        <w:t>differentiation focus</w:t>
      </w:r>
      <w:r w:rsidRPr="0044464D">
        <w:rPr>
          <w:i/>
          <w:iCs/>
        </w:rPr>
        <w:t>)</w:t>
      </w:r>
      <w:r>
        <w:t>.</w:t>
      </w:r>
    </w:p>
    <w:p w14:paraId="21084535" w14:textId="02A13905" w:rsidR="0044464D" w:rsidRDefault="0044464D" w:rsidP="0044464D">
      <w:r>
        <w:t xml:space="preserve">Rather than competing on broad market cost or universal appeal, </w:t>
      </w:r>
      <w:proofErr w:type="spellStart"/>
      <w:r>
        <w:t>Quanterix</w:t>
      </w:r>
      <w:proofErr w:type="spellEnd"/>
      <w:r>
        <w:t xml:space="preserve"> targets a narrow segment within the life sciences and diagnostics industry, focusing on ultra-sensitive digital biomarker</w:t>
      </w:r>
      <w:r>
        <w:t xml:space="preserve">s, and how to effectively detect those biomarkers, </w:t>
      </w:r>
      <w:r>
        <w:t>for early disease diagnosis</w:t>
      </w:r>
      <w:r>
        <w:t>. P</w:t>
      </w:r>
      <w:r>
        <w:t>articularly in neurology (</w:t>
      </w:r>
      <w:proofErr w:type="spellStart"/>
      <w:r>
        <w:t>Quanterix</w:t>
      </w:r>
      <w:proofErr w:type="spellEnd"/>
      <w:r>
        <w:t>, 2025</w:t>
      </w:r>
      <w:r>
        <w:t>). Their strategy emphasizes unique, high-precision technology tailored to specialized research and clinical needs, avoiding direct competition with larger, generalized diagnostics firms.</w:t>
      </w:r>
    </w:p>
    <w:p w14:paraId="5553CB28" w14:textId="4E3C67E3" w:rsidR="0044464D" w:rsidRPr="0044464D" w:rsidRDefault="0044464D" w:rsidP="0044464D">
      <w:pPr>
        <w:jc w:val="center"/>
        <w:rPr>
          <w:b/>
          <w:bCs/>
        </w:rPr>
      </w:pPr>
      <w:r w:rsidRPr="0044464D">
        <w:rPr>
          <w:b/>
          <w:bCs/>
        </w:rPr>
        <w:t>Resource/Capability and Sustainable Competitive Advantage:</w:t>
      </w:r>
    </w:p>
    <w:p w14:paraId="74EADDD5" w14:textId="0E0C1EFB" w:rsidR="0044464D" w:rsidRDefault="0044464D" w:rsidP="0044464D">
      <w:r>
        <w:t xml:space="preserve">A key resource </w:t>
      </w:r>
      <w:proofErr w:type="spellStart"/>
      <w:r>
        <w:t>Quanterix</w:t>
      </w:r>
      <w:proofErr w:type="spellEnd"/>
      <w:r>
        <w:t xml:space="preserve"> is aiming for is its </w:t>
      </w:r>
      <w:proofErr w:type="spellStart"/>
      <w:r>
        <w:t>Si</w:t>
      </w:r>
      <w:r>
        <w:t>M</w:t>
      </w:r>
      <w:r>
        <w:t>o</w:t>
      </w:r>
      <w:r>
        <w:t>A</w:t>
      </w:r>
      <w:proofErr w:type="spellEnd"/>
      <w:r>
        <w:t xml:space="preserve"> (Single Molecule Array) technology, which enables unprecedented sensitivity in detecting biomarkers at low concentrations (Fierce Biotech</w:t>
      </w:r>
      <w:r>
        <w:t>, 202</w:t>
      </w:r>
      <w:r w:rsidR="005A4705">
        <w:t>4</w:t>
      </w:r>
      <w:r>
        <w:t xml:space="preserve">). </w:t>
      </w:r>
    </w:p>
    <w:p w14:paraId="0AA5B39F" w14:textId="6B76786D" w:rsidR="0044464D" w:rsidRDefault="0044464D" w:rsidP="0044464D">
      <w:r>
        <w:t xml:space="preserve">We may test </w:t>
      </w:r>
      <w:r>
        <w:t>this against the four criteria for sustainable competitive advantage:</w:t>
      </w:r>
    </w:p>
    <w:p w14:paraId="11E8986E" w14:textId="47DC5101" w:rsidR="0044464D" w:rsidRDefault="0044464D" w:rsidP="0044464D">
      <w:pPr>
        <w:pStyle w:val="ListParagraph"/>
        <w:numPr>
          <w:ilvl w:val="0"/>
          <w:numId w:val="3"/>
        </w:numPr>
      </w:pPr>
      <w:r w:rsidRPr="0044464D">
        <w:rPr>
          <w:b/>
          <w:bCs/>
        </w:rPr>
        <w:lastRenderedPageBreak/>
        <w:t>Valuable</w:t>
      </w:r>
      <w:r>
        <w:t>: It addresses critical needs in early disease detection, driving demand from researchers and clinicians.</w:t>
      </w:r>
    </w:p>
    <w:p w14:paraId="232C7A3F" w14:textId="3D9F6136" w:rsidR="0044464D" w:rsidRDefault="0044464D" w:rsidP="0044464D">
      <w:pPr>
        <w:pStyle w:val="ListParagraph"/>
        <w:numPr>
          <w:ilvl w:val="0"/>
          <w:numId w:val="3"/>
        </w:numPr>
      </w:pPr>
      <w:r w:rsidRPr="0044464D">
        <w:rPr>
          <w:b/>
          <w:bCs/>
        </w:rPr>
        <w:t>Rare:</w:t>
      </w:r>
      <w:r>
        <w:t xml:space="preserve"> Few competitors offer comparable sensitivity in biomarker analysis.</w:t>
      </w:r>
    </w:p>
    <w:p w14:paraId="7C5A84E5" w14:textId="3B83A860" w:rsidR="0044464D" w:rsidRDefault="0044464D" w:rsidP="0044464D">
      <w:pPr>
        <w:pStyle w:val="ListParagraph"/>
        <w:numPr>
          <w:ilvl w:val="0"/>
          <w:numId w:val="3"/>
        </w:numPr>
      </w:pPr>
      <w:r w:rsidRPr="0044464D">
        <w:rPr>
          <w:b/>
          <w:bCs/>
        </w:rPr>
        <w:t>Inimitable</w:t>
      </w:r>
      <w:r w:rsidRPr="0044464D">
        <w:rPr>
          <w:b/>
          <w:bCs/>
        </w:rPr>
        <w:t>:</w:t>
      </w:r>
      <w:r>
        <w:t xml:space="preserve"> </w:t>
      </w:r>
      <w:r>
        <w:t>The technology is protected by patents and years of specialized R&amp;D, creating replication barriers.</w:t>
      </w:r>
    </w:p>
    <w:p w14:paraId="73FD63AE" w14:textId="504715AD" w:rsidR="0044464D" w:rsidRDefault="0044464D" w:rsidP="0044464D">
      <w:pPr>
        <w:pStyle w:val="ListParagraph"/>
        <w:numPr>
          <w:ilvl w:val="0"/>
          <w:numId w:val="3"/>
        </w:numPr>
      </w:pPr>
      <w:r w:rsidRPr="0044464D">
        <w:rPr>
          <w:b/>
          <w:bCs/>
        </w:rPr>
        <w:t>Non-substitutable</w:t>
      </w:r>
      <w:r w:rsidRPr="0044464D">
        <w:rPr>
          <w:b/>
          <w:bCs/>
        </w:rPr>
        <w:t xml:space="preserve">: </w:t>
      </w:r>
      <w:r>
        <w:t xml:space="preserve"> Alternative methods often lack </w:t>
      </w:r>
      <w:proofErr w:type="spellStart"/>
      <w:r>
        <w:t>Si</w:t>
      </w:r>
      <w:r>
        <w:t>MoA</w:t>
      </w:r>
      <w:r>
        <w:t>’s</w:t>
      </w:r>
      <w:proofErr w:type="spellEnd"/>
      <w:r>
        <w:t xml:space="preserve"> precision at such low detection levels.</w:t>
      </w:r>
    </w:p>
    <w:p w14:paraId="43D1915C" w14:textId="5132D057" w:rsidR="0044464D" w:rsidRDefault="0044464D" w:rsidP="0044464D">
      <w:r>
        <w:t xml:space="preserve">In </w:t>
      </w:r>
      <w:r>
        <w:t>the author’s</w:t>
      </w:r>
      <w:r>
        <w:t xml:space="preserve"> view, </w:t>
      </w:r>
      <w:proofErr w:type="spellStart"/>
      <w:r>
        <w:t>Quanterix</w:t>
      </w:r>
      <w:proofErr w:type="spellEnd"/>
      <w:r>
        <w:t xml:space="preserve"> </w:t>
      </w:r>
      <w:proofErr w:type="gramStart"/>
      <w:r>
        <w:t>ha</w:t>
      </w:r>
      <w:r>
        <w:t>ve</w:t>
      </w:r>
      <w:proofErr w:type="gramEnd"/>
      <w:r>
        <w:t xml:space="preserve"> successfully built this capability, as evidenced by their growing adoption in neurodegenerative research. Their </w:t>
      </w:r>
      <w:proofErr w:type="spellStart"/>
      <w:r>
        <w:t>Si</w:t>
      </w:r>
      <w:r>
        <w:t>M</w:t>
      </w:r>
      <w:r>
        <w:t>o</w:t>
      </w:r>
      <w:r>
        <w:t>A</w:t>
      </w:r>
      <w:proofErr w:type="spellEnd"/>
      <w:r>
        <w:t xml:space="preserve"> platform likely passes these tests, providing a competitive edge</w:t>
      </w:r>
      <w:r>
        <w:t>… that is,</w:t>
      </w:r>
      <w:r>
        <w:t xml:space="preserve"> if they continue to innovate and protect their intellectual property</w:t>
      </w:r>
      <w:r>
        <w:t>, which is easier said than done.</w:t>
      </w:r>
    </w:p>
    <w:p w14:paraId="63CA806D" w14:textId="6715C509" w:rsidR="0044464D" w:rsidRDefault="0044464D" w:rsidP="0044464D">
      <w:r>
        <w:t>This case underscores how focused differentiation can excel in specialized markets, offering strategic insights</w:t>
      </w:r>
      <w:r w:rsidR="005A4705">
        <w:t xml:space="preserve"> that are required</w:t>
      </w:r>
      <w:r>
        <w:t xml:space="preserve"> for unique</w:t>
      </w:r>
      <w:r w:rsidR="005A4705">
        <w:t xml:space="preserve">, and effective </w:t>
      </w:r>
      <w:r>
        <w:t>positioning.</w:t>
      </w:r>
    </w:p>
    <w:p w14:paraId="2965F15B" w14:textId="2FE9A327" w:rsidR="0044464D" w:rsidRPr="0044464D" w:rsidRDefault="0044464D" w:rsidP="0044464D">
      <w:pPr>
        <w:jc w:val="center"/>
        <w:rPr>
          <w:b/>
          <w:bCs/>
        </w:rPr>
      </w:pPr>
      <w:r w:rsidRPr="0044464D">
        <w:rPr>
          <w:b/>
          <w:bCs/>
        </w:rPr>
        <w:t>Works Cited</w:t>
      </w:r>
    </w:p>
    <w:p w14:paraId="46E8E914" w14:textId="32D93FD2" w:rsidR="0044464D" w:rsidRPr="005A4705" w:rsidRDefault="0044464D" w:rsidP="0044464D">
      <w:pPr>
        <w:rPr>
          <w:i/>
          <w:iCs/>
        </w:rPr>
      </w:pPr>
      <w:r w:rsidRPr="005A4705">
        <w:rPr>
          <w:b/>
          <w:bCs/>
        </w:rPr>
        <w:t>“</w:t>
      </w:r>
      <w:proofErr w:type="spellStart"/>
      <w:r w:rsidRPr="005A4705">
        <w:rPr>
          <w:b/>
          <w:bCs/>
        </w:rPr>
        <w:t>Quanterix</w:t>
      </w:r>
      <w:proofErr w:type="spellEnd"/>
      <w:r w:rsidRPr="005A4705">
        <w:rPr>
          <w:b/>
          <w:bCs/>
        </w:rPr>
        <w:t xml:space="preserve"> – Digital Biomarker Development and Detection</w:t>
      </w:r>
      <w:r w:rsidRPr="005A4705">
        <w:rPr>
          <w:b/>
          <w:bCs/>
          <w:i/>
          <w:iCs/>
        </w:rPr>
        <w:t>.</w:t>
      </w:r>
      <w:r w:rsidRPr="005A4705">
        <w:rPr>
          <w:b/>
          <w:bCs/>
        </w:rPr>
        <w:t xml:space="preserve">” </w:t>
      </w:r>
      <w:proofErr w:type="spellStart"/>
      <w:r w:rsidRPr="005A4705">
        <w:rPr>
          <w:i/>
          <w:iCs/>
        </w:rPr>
        <w:t>Quanterix</w:t>
      </w:r>
      <w:proofErr w:type="spellEnd"/>
      <w:r w:rsidRPr="005A4705">
        <w:rPr>
          <w:i/>
          <w:iCs/>
        </w:rPr>
        <w:t xml:space="preserve"> Corporation, 2025, </w:t>
      </w:r>
      <w:hyperlink r:id="rId8" w:history="1">
        <w:r w:rsidR="005A4705" w:rsidRPr="009848EA">
          <w:rPr>
            <w:rStyle w:val="Hyperlink"/>
            <w:i/>
            <w:iCs/>
          </w:rPr>
          <w:t>www.quanterix.co</w:t>
        </w:r>
        <w:r w:rsidR="005A4705" w:rsidRPr="009848EA">
          <w:rPr>
            <w:rStyle w:val="Hyperlink"/>
            <w:i/>
            <w:iCs/>
          </w:rPr>
          <w:t>m</w:t>
        </w:r>
      </w:hyperlink>
      <w:r w:rsidRPr="005A4705">
        <w:rPr>
          <w:i/>
          <w:iCs/>
        </w:rPr>
        <w:t xml:space="preserve"> </w:t>
      </w:r>
      <w:r w:rsidR="005A4705">
        <w:rPr>
          <w:i/>
          <w:iCs/>
        </w:rPr>
        <w:t xml:space="preserve">, </w:t>
      </w:r>
      <w:r w:rsidRPr="005A4705">
        <w:rPr>
          <w:i/>
          <w:iCs/>
        </w:rPr>
        <w:t>Accessed 9 May 2025</w:t>
      </w:r>
      <w:r w:rsidR="005A4705">
        <w:rPr>
          <w:i/>
          <w:iCs/>
        </w:rPr>
        <w:t>.</w:t>
      </w:r>
    </w:p>
    <w:p w14:paraId="118F61CF" w14:textId="45E29345" w:rsidR="00CF12FA" w:rsidRPr="0044464D" w:rsidRDefault="0044464D" w:rsidP="0044464D">
      <w:r w:rsidRPr="005A4705">
        <w:rPr>
          <w:b/>
          <w:bCs/>
        </w:rPr>
        <w:t>“</w:t>
      </w:r>
      <w:proofErr w:type="spellStart"/>
      <w:r w:rsidRPr="005A4705">
        <w:rPr>
          <w:b/>
          <w:bCs/>
        </w:rPr>
        <w:t>Quanterix</w:t>
      </w:r>
      <w:proofErr w:type="spellEnd"/>
      <w:r w:rsidRPr="005A4705">
        <w:rPr>
          <w:b/>
          <w:bCs/>
        </w:rPr>
        <w:t xml:space="preserve"> Eyes Continued Growth with Single-Molecule Tech for Blood-Based Biomarkers.”</w:t>
      </w:r>
      <w:r w:rsidRPr="005A4705">
        <w:rPr>
          <w:i/>
          <w:iCs/>
        </w:rPr>
        <w:t xml:space="preserve"> Fierce Biotech, 2024,</w:t>
      </w:r>
      <w:r>
        <w:t xml:space="preserve"> </w:t>
      </w:r>
      <w:hyperlink r:id="rId9" w:history="1">
        <w:r w:rsidR="005A4705" w:rsidRPr="009848EA">
          <w:rPr>
            <w:rStyle w:val="Hyperlink"/>
          </w:rPr>
          <w:t>www.fiercebiotech.com/medtech/quanterix-eyes-continued-growth-single-molecule-tech-blood-based-biomarkers</w:t>
        </w:r>
      </w:hyperlink>
      <w:r w:rsidR="005A4705">
        <w:t xml:space="preserve">, </w:t>
      </w:r>
      <w:r w:rsidRPr="005A4705">
        <w:rPr>
          <w:i/>
          <w:iCs/>
        </w:rPr>
        <w:t>Accessed 9 May 2025</w:t>
      </w:r>
      <w:r w:rsidR="005A4705" w:rsidRPr="005A4705">
        <w:rPr>
          <w:i/>
          <w:iCs/>
        </w:rPr>
        <w:t>.</w:t>
      </w:r>
    </w:p>
    <w:sectPr w:rsidR="00CF12FA" w:rsidRPr="0044464D" w:rsidSect="008646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1F54" w14:textId="77777777" w:rsidR="00626C05" w:rsidRDefault="00626C05" w:rsidP="0086467D">
      <w:pPr>
        <w:spacing w:after="0" w:line="240" w:lineRule="auto"/>
      </w:pPr>
      <w:r>
        <w:separator/>
      </w:r>
    </w:p>
  </w:endnote>
  <w:endnote w:type="continuationSeparator" w:id="0">
    <w:p w14:paraId="0091D0CC" w14:textId="77777777" w:rsidR="00626C05" w:rsidRDefault="00626C05" w:rsidP="0086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2B94D" w14:textId="77777777" w:rsidR="00626C05" w:rsidRDefault="00626C05" w:rsidP="0086467D">
      <w:pPr>
        <w:spacing w:after="0" w:line="240" w:lineRule="auto"/>
      </w:pPr>
      <w:r>
        <w:separator/>
      </w:r>
    </w:p>
  </w:footnote>
  <w:footnote w:type="continuationSeparator" w:id="0">
    <w:p w14:paraId="446944C1" w14:textId="77777777" w:rsidR="00626C05" w:rsidRDefault="00626C05" w:rsidP="0086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9245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8D76A2" w14:textId="6A14D99B" w:rsidR="0086467D" w:rsidRDefault="0086467D" w:rsidP="0086467D">
        <w:pPr>
          <w:pStyle w:val="Header"/>
          <w:jc w:val="right"/>
        </w:pPr>
        <w:r>
          <w:t xml:space="preserve">Keith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969"/>
    <w:multiLevelType w:val="hybridMultilevel"/>
    <w:tmpl w:val="1202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AFE"/>
    <w:multiLevelType w:val="multilevel"/>
    <w:tmpl w:val="DA5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77031"/>
    <w:multiLevelType w:val="hybridMultilevel"/>
    <w:tmpl w:val="D0000DFC"/>
    <w:lvl w:ilvl="0" w:tplc="860298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1760">
    <w:abstractNumId w:val="1"/>
  </w:num>
  <w:num w:numId="2" w16cid:durableId="424421965">
    <w:abstractNumId w:val="0"/>
  </w:num>
  <w:num w:numId="3" w16cid:durableId="11913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C7"/>
    <w:rsid w:val="00172A01"/>
    <w:rsid w:val="0044464D"/>
    <w:rsid w:val="00534C9B"/>
    <w:rsid w:val="005A4705"/>
    <w:rsid w:val="00626C05"/>
    <w:rsid w:val="00724190"/>
    <w:rsid w:val="0086467D"/>
    <w:rsid w:val="0090009F"/>
    <w:rsid w:val="009A49C7"/>
    <w:rsid w:val="00CF12FA"/>
    <w:rsid w:val="00E65BCA"/>
    <w:rsid w:val="00EB3E55"/>
    <w:rsid w:val="00F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D32"/>
  <w15:chartTrackingRefBased/>
  <w15:docId w15:val="{13AFCE87-ABF4-4BDA-AC51-2798E70A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7D"/>
  </w:style>
  <w:style w:type="paragraph" w:styleId="Footer">
    <w:name w:val="footer"/>
    <w:basedOn w:val="Normal"/>
    <w:link w:val="FooterChar"/>
    <w:uiPriority w:val="99"/>
    <w:unhideWhenUsed/>
    <w:rsid w:val="0086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nteri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ercebiotech.com/medtech/quanterix-eyes-continued-growth-single-molecule-tech-blood-based-biomark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iercebiotech.com/medtech/quanterix-eyes-continued-growth-single-molecule-tech-blood-based-bio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Keith</dc:creator>
  <cp:keywords/>
  <dc:description/>
  <cp:lastModifiedBy>Chad Keith</cp:lastModifiedBy>
  <cp:revision>2</cp:revision>
  <dcterms:created xsi:type="dcterms:W3CDTF">2025-05-10T02:44:00Z</dcterms:created>
  <dcterms:modified xsi:type="dcterms:W3CDTF">2025-05-10T02:44:00Z</dcterms:modified>
</cp:coreProperties>
</file>