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before="0" w:after="20"/>
        <w:jc w:val="center"/>
        <w:rPr/>
      </w:pPr>
      <w:r>
        <w:rPr>
          <w:rFonts w:eastAsia="Calibri"/>
          <w:b/>
          <w:i w:val="false"/>
          <w:color w:val="1B365D"/>
          <w:sz w:val="44"/>
        </w:rPr>
        <w:t>CHRISTOPHER E. CHILDS</w:t>
      </w:r>
    </w:p>
    <w:p>
      <w:pPr>
        <w:pStyle w:val="Normal"/>
        <w:widowControl/>
        <w:spacing w:lineRule="exact" w:line="280" w:before="0" w:after="80"/>
        <w:jc w:val="center"/>
        <w:rPr/>
      </w:pPr>
      <w:r>
        <w:rPr>
          <w:rFonts w:eastAsia="Calibri"/>
          <w:b w:val="false"/>
          <w:i/>
          <w:color w:val="444444"/>
          <w:sz w:val="22"/>
        </w:rPr>
        <w:t>Premium Services Expert  ·  Strategic Software &amp; Services Architect  ·  Cisco Sales Champion</w:t>
      </w:r>
    </w:p>
    <w:p>
      <w:pPr>
        <w:pStyle w:val="Normal"/>
        <w:widowControl/>
        <w:spacing w:lineRule="exact" w:line="260" w:before="0" w:after="40"/>
        <w:jc w:val="center"/>
        <w:rPr/>
      </w:pPr>
      <w:r>
        <w:rPr>
          <w:rFonts w:eastAsia="Calibri"/>
          <w:b w:val="false"/>
          <w:i w:val="false"/>
          <w:color w:val="222222"/>
          <w:sz w:val="21"/>
        </w:rPr>
        <w:t>6507 Glendower Rd, Raleigh, North Carolina 27613  ·  (919) 523-8426</w:t>
      </w:r>
    </w:p>
    <w:p>
      <w:pPr>
        <w:pStyle w:val="Normal"/>
        <w:widowControl/>
        <w:spacing w:lineRule="exact" w:line="260" w:before="0" w:after="40"/>
        <w:jc w:val="center"/>
        <w:rPr/>
      </w:pPr>
      <w:hyperlink r:id="rId2">
        <w:r>
          <w:rPr>
            <w:rStyle w:val="ListLabel10"/>
            <w:color w:val="1B365D"/>
            <w:sz w:val="21"/>
            <w:szCs w:val="21"/>
            <w:u w:val="single"/>
          </w:rPr>
          <w:t>Chchilds@cisco.com</w:t>
        </w:r>
      </w:hyperlink>
      <w:r>
        <w:rPr>
          <w:rFonts w:eastAsia="Calibri"/>
          <w:b w:val="false"/>
          <w:i w:val="false"/>
          <w:color w:val="222222"/>
          <w:sz w:val="21"/>
        </w:rPr>
        <w:t xml:space="preserve">  ·  </w:t>
      </w:r>
      <w:hyperlink r:id="rId3">
        <w:r>
          <w:rPr>
            <w:rStyle w:val="ListLabel10"/>
            <w:color w:val="1B365D"/>
            <w:sz w:val="21"/>
            <w:szCs w:val="21"/>
            <w:u w:val="single"/>
          </w:rPr>
          <w:t>Chris.E.Childs@gmail.com</w:t>
        </w:r>
      </w:hyperlink>
      <w:r>
        <w:rPr>
          <w:rFonts w:eastAsia="Calibri"/>
          <w:b w:val="false"/>
          <w:i w:val="false"/>
          <w:color w:val="222222"/>
          <w:sz w:val="21"/>
        </w:rPr>
        <w:t xml:space="preserve">  ·  </w:t>
      </w:r>
      <w:hyperlink r:id="rId4">
        <w:r>
          <w:rPr>
            <w:rStyle w:val="ListLabel10"/>
            <w:color w:val="1B365D"/>
            <w:sz w:val="21"/>
            <w:szCs w:val="21"/>
            <w:u w:val="single"/>
          </w:rPr>
          <w:t>linkedin.com/in/chrischildsraleigh</w:t>
        </w:r>
      </w:hyperlink>
    </w:p>
    <w:p>
      <w:pPr>
        <w:pStyle w:val="Normal"/>
        <w:keepNext w:val="true"/>
        <w:widowControl/>
        <w:pBdr>
          <w:bottom w:val="single" w:sz="12" w:space="1" w:color="1B365D"/>
        </w:pBdr>
        <w:spacing w:lineRule="exact" w:line="300" w:before="160" w:after="60"/>
        <w:rPr/>
      </w:pPr>
      <w:r>
        <w:rPr>
          <w:rFonts w:eastAsia="Calibri"/>
          <w:b/>
          <w:i w:val="false"/>
          <w:color w:val="1B365D"/>
          <w:sz w:val="24"/>
        </w:rPr>
        <w:t>PROFESSIONAL SUMMARY</w:t>
      </w:r>
    </w:p>
    <w:p>
      <w:pPr>
        <w:pStyle w:val="Normal"/>
        <w:widowControl/>
        <w:spacing w:lineRule="exact" w:line="280" w:before="60" w:after="20"/>
        <w:rPr/>
      </w:pPr>
      <w:r>
        <w:rPr>
          <w:rFonts w:eastAsia="Calibri"/>
          <w:b w:val="false"/>
          <w:i w:val="false"/>
          <w:color w:val="222222"/>
          <w:sz w:val="21"/>
        </w:rPr>
        <w:t>Customer-focused Cisco combined seller and solutions engineer based in Raleigh, North Carolina, with 14+ years at Cisco spanning premium services, strategic software, Enterprise Agreements, and pre-sales architecture. Designs consumption models that attach CX Enterprise Agreements (CXEA), Expert Care, Lifecycle Services, and Advanced Services to software ELAs — and converts that design work into competitive wins across security, collaboration, data center, wireless, and enterprise networking.</w:t>
      </w:r>
    </w:p>
    <w:p>
      <w:pPr>
        <w:pStyle w:val="Normal"/>
        <w:keepNext w:val="true"/>
        <w:widowControl/>
        <w:pBdr>
          <w:bottom w:val="single" w:sz="12" w:space="1" w:color="1B365D"/>
        </w:pBdr>
        <w:spacing w:lineRule="exact" w:line="300" w:before="160" w:after="60"/>
        <w:rPr/>
      </w:pPr>
      <w:r>
        <w:rPr>
          <w:rFonts w:eastAsia="Calibri"/>
          <w:b/>
          <w:i w:val="false"/>
          <w:color w:val="1B365D"/>
          <w:sz w:val="24"/>
        </w:rPr>
        <w:t>EXPERIENCE</w:t>
      </w:r>
    </w:p>
    <w:p>
      <w:pPr>
        <w:pStyle w:val="Normal"/>
        <w:keepNext w:val="true"/>
        <w:widowControl/>
        <w:spacing w:lineRule="exact" w:line="260" w:before="0" w:after="20"/>
        <w:rPr/>
      </w:pPr>
      <w:r>
        <w:rPr>
          <w:rFonts w:eastAsia="Calibri"/>
          <w:b w:val="false"/>
          <w:i/>
          <w:color w:val="1B365D"/>
          <w:sz w:val="21"/>
        </w:rPr>
        <w:t>Cisco Systems, Inc.</w:t>
      </w:r>
      <w:r>
        <w:rPr>
          <w:rFonts w:eastAsia="Calibri"/>
          <w:b w:val="false"/>
          <w:i w:val="false"/>
          <w:color w:val="444444"/>
          <w:sz w:val="21"/>
        </w:rPr>
        <w:t xml:space="preserve">  |  Raleigh, NC</w:t>
      </w:r>
    </w:p>
    <w:p>
      <w:pPr>
        <w:pStyle w:val="Normal"/>
        <w:keepNext w:val="true"/>
        <w:widowControl/>
        <w:tabs>
          <w:tab w:val="clear" w:pos="720"/>
          <w:tab w:val="right" w:pos="10368" w:leader="none"/>
        </w:tabs>
        <w:spacing w:lineRule="exact" w:line="280" w:before="100" w:after="0"/>
        <w:rPr/>
      </w:pPr>
      <w:r>
        <w:rPr>
          <w:rFonts w:eastAsia="Calibri"/>
          <w:b/>
          <w:i w:val="false"/>
          <w:color w:val="222222"/>
          <w:sz w:val="22"/>
        </w:rPr>
        <w:t>EA Architect &amp; Premium Service Seller (Combined Seller)</w:t>
      </w:r>
      <w:r>
        <w:rPr>
          <w:rFonts w:eastAsia="Calibri"/>
          <w:b w:val="false"/>
          <w:i/>
          <w:color w:val="444444"/>
          <w:sz w:val="21"/>
        </w:rPr>
        <w:tab/>
        <w:t>August 2023 – Present</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Combined seller for Cisco Premium Services and Strategic Software: architect CX Enterprise Agreements (CXEAs), Expert Care, Lifecycle Services (LCS), and Advanced Services (AS) as a single customer motion.</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Design software-plus-services consumption models that attach Premium Services to Enterprise Agreements and drive recurring-revenue, True Forward, and high-adoption outcomes.</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Partner with account teams, partners, and customers to position One Cisco architectures across networking, security, collaboration, and data center software.</w:t>
      </w:r>
    </w:p>
    <w:p>
      <w:pPr>
        <w:pStyle w:val="ListBullet"/>
        <w:keepNext w:val="false"/>
        <w:widowControl/>
        <w:numPr>
          <w:ilvl w:val="0"/>
          <w:numId w:val="1"/>
        </w:numPr>
        <w:spacing w:lineRule="exact" w:line="260" w:before="0" w:after="0"/>
        <w:ind w:hanging="216" w:start="360"/>
        <w:contextualSpacing/>
        <w:rPr/>
      </w:pPr>
      <w:r>
        <w:rPr>
          <w:rFonts w:eastAsia="Calibri"/>
          <w:b w:val="false"/>
          <w:i w:val="false"/>
          <w:color w:val="222222"/>
          <w:sz w:val="21"/>
        </w:rPr>
        <w:t>Recognized as a Cisco Sales Champion and GSX winner for software and services sales; completed IMPACT Ready IC (Aug 2023) and FY24 Services Sales (Oct 2023).</w:t>
      </w:r>
    </w:p>
    <w:p>
      <w:pPr>
        <w:pStyle w:val="Normal"/>
        <w:keepNext w:val="true"/>
        <w:widowControl/>
        <w:tabs>
          <w:tab w:val="clear" w:pos="720"/>
          <w:tab w:val="right" w:pos="10368" w:leader="none"/>
        </w:tabs>
        <w:spacing w:lineRule="exact" w:line="280" w:before="100" w:after="0"/>
        <w:rPr/>
      </w:pPr>
      <w:r>
        <w:rPr>
          <w:rFonts w:eastAsia="Calibri"/>
          <w:b/>
          <w:i w:val="false"/>
          <w:color w:val="222222"/>
          <w:sz w:val="22"/>
        </w:rPr>
        <w:t>Strategic Software Sales Specialist</w:t>
      </w:r>
      <w:r>
        <w:rPr>
          <w:rFonts w:eastAsia="Calibri"/>
          <w:b w:val="false"/>
          <w:i/>
          <w:color w:val="444444"/>
          <w:sz w:val="21"/>
        </w:rPr>
        <w:tab/>
        <w:t>October 2019 – Present</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Lead strategic software sales for Enterprise Agreements, ELA consumption, and subscription / recurring-revenue offers across Cisco’s software portfolio.</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Named FY22 Americas Sales Champion, Services &amp; Software — recognized among Cisco’s top Americas software and services sellers.</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Translate security, collaboration, networking, and data center software into customer consumption and adoption plans; completed Cisco Recurring Revenue Metrics (Feb 2022).</w:t>
      </w:r>
    </w:p>
    <w:p>
      <w:pPr>
        <w:pStyle w:val="ListBullet"/>
        <w:keepNext w:val="false"/>
        <w:widowControl/>
        <w:numPr>
          <w:ilvl w:val="0"/>
          <w:numId w:val="1"/>
        </w:numPr>
        <w:spacing w:lineRule="exact" w:line="260" w:before="0" w:after="0"/>
        <w:ind w:hanging="216" w:start="360"/>
        <w:contextualSpacing/>
        <w:rPr/>
      </w:pPr>
      <w:r>
        <w:rPr>
          <w:rFonts w:eastAsia="Calibri"/>
          <w:b w:val="false"/>
          <w:i w:val="false"/>
          <w:color w:val="222222"/>
          <w:sz w:val="21"/>
        </w:rPr>
        <w:t>Carry forward SE-honed competitive displacement skills — SD-WAN, Meraki, security, contact center, and API/scripting use cases — into software-led deals.</w:t>
      </w:r>
    </w:p>
    <w:p>
      <w:pPr>
        <w:pStyle w:val="Normal"/>
        <w:keepNext w:val="true"/>
        <w:widowControl/>
        <w:tabs>
          <w:tab w:val="clear" w:pos="720"/>
          <w:tab w:val="right" w:pos="10368" w:leader="none"/>
        </w:tabs>
        <w:spacing w:lineRule="exact" w:line="280" w:before="100" w:after="0"/>
        <w:rPr/>
      </w:pPr>
      <w:r>
        <w:rPr>
          <w:rFonts w:eastAsia="Calibri"/>
          <w:b/>
          <w:i w:val="false"/>
          <w:color w:val="222222"/>
          <w:sz w:val="22"/>
        </w:rPr>
        <w:t>Systems Engineer, Carolina Select</w:t>
      </w:r>
      <w:r>
        <w:rPr>
          <w:rFonts w:eastAsia="Calibri"/>
          <w:b w:val="false"/>
          <w:i/>
          <w:color w:val="444444"/>
          <w:sz w:val="21"/>
        </w:rPr>
        <w:tab/>
        <w:t>January 2015 – October 2019</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Technical and engineering lead for Cisco Select healthcare, financial, and manufacturing accounts in North and South Carolina. Competitive wins in security, collaboration, data center, wireless, enterprise, management, and software, delivered with Advanced Services or partner-led engagements.</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Drove blended 100% ELA / software consumption spanning UC, ONE (C1), and Security; used CloudCenter, ACI, and UCS Director in competitive data-center-to-cloud conversations modeled on Cisco-on-Cisco catalog offerings.</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SE of multiple quarters in Commercial; seven Carolina Select customers; customer-referenced architectures, EBCs, Global CRO travel, Cisco Live Expo for LED / UPOE with CREE, plus scripting and API use cases.</w:t>
      </w:r>
    </w:p>
    <w:p>
      <w:pPr>
        <w:pStyle w:val="ListBullet"/>
        <w:keepNext w:val="false"/>
        <w:widowControl/>
        <w:numPr>
          <w:ilvl w:val="0"/>
          <w:numId w:val="1"/>
        </w:numPr>
        <w:spacing w:lineRule="exact" w:line="260" w:before="0" w:after="0"/>
        <w:ind w:hanging="216" w:start="360"/>
        <w:contextualSpacing/>
        <w:rPr/>
      </w:pPr>
      <w:r>
        <w:rPr>
          <w:rFonts w:eastAsia="Calibri"/>
          <w:b w:val="false"/>
          <w:i w:val="false"/>
          <w:color w:val="222222"/>
          <w:sz w:val="21"/>
        </w:rPr>
        <w:t>Major wins in SD-WAN, Meraki, Security portfolio, and Contact Center; full post-sales and customer-excellence focus.</w:t>
      </w:r>
    </w:p>
    <w:p>
      <w:pPr>
        <w:pStyle w:val="Normal"/>
        <w:keepNext w:val="true"/>
        <w:widowControl/>
        <w:tabs>
          <w:tab w:val="clear" w:pos="720"/>
          <w:tab w:val="right" w:pos="10368" w:leader="none"/>
        </w:tabs>
        <w:spacing w:lineRule="exact" w:line="280" w:before="100" w:after="0"/>
        <w:rPr/>
      </w:pPr>
      <w:r>
        <w:rPr>
          <w:rFonts w:eastAsia="Calibri"/>
          <w:b/>
          <w:i w:val="false"/>
          <w:color w:val="222222"/>
          <w:sz w:val="22"/>
        </w:rPr>
        <w:t>Network Consulting Engineer</w:t>
      </w:r>
      <w:r>
        <w:rPr>
          <w:rFonts w:eastAsia="Calibri"/>
          <w:b w:val="false"/>
          <w:i/>
          <w:color w:val="444444"/>
          <w:sz w:val="21"/>
        </w:rPr>
        <w:tab/>
        <w:t>March 2013 – January 2015</w:t>
      </w:r>
    </w:p>
    <w:p>
      <w:pPr>
        <w:pStyle w:val="ListBullet"/>
        <w:keepNext w:val="false"/>
        <w:widowControl/>
        <w:numPr>
          <w:ilvl w:val="0"/>
          <w:numId w:val="1"/>
        </w:numPr>
        <w:spacing w:lineRule="exact" w:line="260" w:before="0" w:after="0"/>
        <w:ind w:hanging="216" w:start="360"/>
        <w:contextualSpacing/>
        <w:rPr/>
      </w:pPr>
      <w:r>
        <w:rPr>
          <w:rFonts w:eastAsia="Calibri"/>
          <w:b w:val="false"/>
          <w:i w:val="false"/>
          <w:color w:val="222222"/>
          <w:sz w:val="21"/>
        </w:rPr>
        <w:t>Designed and implemented WAAS and ACE for production data centers (HLD, LLD, NIP); 90%+ customer-facing time; six Advanced Services enterprise customers; UCS deploy and on-site knowledge transfers with TAC and BU partners.</w:t>
      </w:r>
    </w:p>
    <w:p>
      <w:pPr>
        <w:pStyle w:val="Normal"/>
        <w:keepNext w:val="true"/>
        <w:widowControl/>
        <w:tabs>
          <w:tab w:val="clear" w:pos="720"/>
          <w:tab w:val="right" w:pos="10368" w:leader="none"/>
        </w:tabs>
        <w:spacing w:lineRule="exact" w:line="280" w:before="100" w:after="0"/>
        <w:rPr/>
      </w:pPr>
      <w:r>
        <w:rPr>
          <w:rFonts w:eastAsia="Calibri"/>
          <w:b/>
          <w:i w:val="false"/>
          <w:color w:val="222222"/>
          <w:sz w:val="22"/>
        </w:rPr>
        <w:t>Network Engineer, Remote Management Services</w:t>
      </w:r>
      <w:r>
        <w:rPr>
          <w:rFonts w:eastAsia="Calibri"/>
          <w:b w:val="false"/>
          <w:i/>
          <w:color w:val="444444"/>
          <w:sz w:val="21"/>
        </w:rPr>
        <w:tab/>
        <w:t>May 2012 – March 2013</w:t>
      </w:r>
    </w:p>
    <w:p>
      <w:pPr>
        <w:pStyle w:val="ListBullet"/>
        <w:keepNext w:val="false"/>
        <w:widowControl/>
        <w:numPr>
          <w:ilvl w:val="0"/>
          <w:numId w:val="1"/>
        </w:numPr>
        <w:spacing w:lineRule="exact" w:line="260" w:before="0" w:after="0"/>
        <w:ind w:hanging="216" w:start="360"/>
        <w:contextualSpacing/>
        <w:rPr/>
      </w:pPr>
      <w:r>
        <w:rPr>
          <w:rFonts w:eastAsia="Calibri"/>
          <w:b w:val="false"/>
          <w:i w:val="false"/>
          <w:color w:val="222222"/>
          <w:sz w:val="21"/>
        </w:rPr>
        <w:t>NOC incident handling for Cisco premier customers (Remedy, Cisco MAP, TAC): LAN/WLAN, Nexus 7000 NX-OS, ASR5k 3G, ASR9k IOS XR LTE, backhaul, TACACS+/ACS, IronPort, IPsec/VPN, BGP/OSPF/EIGRP; built handover, outage-mailer, and NMS-access processes with SLA/SLO reporting.</w:t>
      </w:r>
    </w:p>
    <w:p>
      <w:pPr>
        <w:pStyle w:val="Normal"/>
        <w:keepNext w:val="true"/>
        <w:widowControl/>
        <w:spacing w:lineRule="exact" w:line="280" w:before="120" w:after="20"/>
        <w:rPr/>
      </w:pPr>
      <w:r>
        <w:rPr>
          <w:rFonts w:eastAsia="Calibri"/>
          <w:b/>
          <w:i w:val="false"/>
          <w:color w:val="222222"/>
          <w:sz w:val="22"/>
        </w:rPr>
        <w:t>Earlier career</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Realtor, Smart Choice Realty and ERA United Home Realty, Raleigh, NC (2006–2012) — built and maintained the firm website and email server; client database search, digital photos, PDF contracts, and e-sign storage.</w:t>
      </w:r>
    </w:p>
    <w:p>
      <w:pPr>
        <w:pStyle w:val="ListBullet"/>
        <w:keepNext w:val="true"/>
        <w:widowControl/>
        <w:numPr>
          <w:ilvl w:val="0"/>
          <w:numId w:val="1"/>
        </w:numPr>
        <w:spacing w:lineRule="exact" w:line="260" w:before="0" w:after="0"/>
        <w:ind w:hanging="216" w:start="360"/>
        <w:contextualSpacing/>
        <w:rPr/>
      </w:pPr>
      <w:r>
        <w:rPr>
          <w:rFonts w:eastAsia="Calibri"/>
          <w:b w:val="false"/>
          <w:i w:val="false"/>
          <w:color w:val="222222"/>
          <w:sz w:val="21"/>
        </w:rPr>
        <w:t>Sales Associate / Geek Squad, Best Buy, Cary, NC (2004–2006) — computer sales and home/small-business networking support; MVP award for Exemplary Service.</w:t>
      </w:r>
    </w:p>
    <w:p>
      <w:pPr>
        <w:pStyle w:val="ListBullet"/>
        <w:keepNext w:val="false"/>
        <w:widowControl/>
        <w:numPr>
          <w:ilvl w:val="0"/>
          <w:numId w:val="1"/>
        </w:numPr>
        <w:spacing w:lineRule="exact" w:line="260" w:before="0" w:after="0"/>
        <w:ind w:hanging="216" w:start="360"/>
        <w:contextualSpacing/>
        <w:rPr/>
      </w:pPr>
      <w:r>
        <w:rPr>
          <w:rFonts w:eastAsia="Calibri"/>
          <w:b w:val="false"/>
          <w:i w:val="false"/>
          <w:color w:val="222222"/>
          <w:sz w:val="21"/>
        </w:rPr>
        <w:t>General Manager, Papa John’s, Cary, NC (2000–2004) — POS/credit-card connectivity, customer database, web-ordering coupon sync, and productivity / P&amp;L / inventory reporting.</w:t>
      </w:r>
    </w:p>
    <w:p>
      <w:pPr>
        <w:pStyle w:val="Normal"/>
        <w:keepNext w:val="true"/>
        <w:widowControl/>
        <w:pBdr>
          <w:bottom w:val="single" w:sz="12" w:space="1" w:color="1B365D"/>
        </w:pBdr>
        <w:spacing w:lineRule="exact" w:line="300" w:before="160" w:after="60"/>
        <w:rPr/>
      </w:pPr>
      <w:r>
        <w:rPr>
          <w:rFonts w:eastAsia="Calibri"/>
          <w:b/>
          <w:i w:val="false"/>
          <w:color w:val="1B365D"/>
          <w:sz w:val="24"/>
        </w:rPr>
        <w:t>EDUCATION</w:t>
      </w:r>
    </w:p>
    <w:p>
      <w:pPr>
        <w:pStyle w:val="Normal"/>
        <w:keepNext w:val="true"/>
        <w:widowControl/>
        <w:tabs>
          <w:tab w:val="clear" w:pos="720"/>
          <w:tab w:val="right" w:pos="10368" w:leader="none"/>
        </w:tabs>
        <w:spacing w:lineRule="exact" w:line="280" w:before="40" w:after="0"/>
        <w:rPr/>
      </w:pPr>
      <w:r>
        <w:rPr>
          <w:rFonts w:eastAsia="Calibri"/>
          <w:b w:val="false"/>
          <w:i w:val="false"/>
          <w:color w:val="222222"/>
          <w:sz w:val="21"/>
        </w:rPr>
        <w:t>East Carolina University — B.S., Industrial Technology</w:t>
      </w:r>
      <w:r>
        <w:rPr>
          <w:rFonts w:eastAsia="Calibri"/>
          <w:b w:val="false"/>
          <w:i/>
          <w:color w:val="444444"/>
          <w:sz w:val="21"/>
        </w:rPr>
        <w:tab/>
        <w:t>Completed 2018</w:t>
      </w:r>
    </w:p>
    <w:p>
      <w:pPr>
        <w:pStyle w:val="Normal"/>
        <w:keepNext w:val="true"/>
        <w:widowControl/>
        <w:tabs>
          <w:tab w:val="clear" w:pos="720"/>
          <w:tab w:val="right" w:pos="10368" w:leader="none"/>
        </w:tabs>
        <w:spacing w:lineRule="exact" w:line="280" w:before="40" w:after="0"/>
        <w:rPr/>
      </w:pPr>
      <w:r>
        <w:rPr>
          <w:rFonts w:eastAsia="Calibri"/>
          <w:b w:val="false"/>
          <w:i w:val="false"/>
          <w:color w:val="222222"/>
          <w:sz w:val="21"/>
        </w:rPr>
        <w:t>Wake Technical Community College — A.A.S., Networking Technology, GPA 3.7</w:t>
      </w:r>
      <w:r>
        <w:rPr>
          <w:rFonts w:eastAsia="Calibri"/>
          <w:b w:val="false"/>
          <w:i/>
          <w:color w:val="444444"/>
          <w:sz w:val="21"/>
        </w:rPr>
        <w:tab/>
        <w:t>2013</w:t>
      </w:r>
    </w:p>
    <w:p>
      <w:pPr>
        <w:pStyle w:val="Normal"/>
        <w:widowControl/>
        <w:spacing w:lineRule="exact" w:line="260" w:before="20" w:after="0"/>
        <w:rPr/>
      </w:pPr>
      <w:r>
        <w:rPr>
          <w:rFonts w:eastAsia="Calibri"/>
          <w:b w:val="false"/>
          <w:i/>
          <w:color w:val="444444"/>
          <w:sz w:val="20"/>
        </w:rPr>
        <w:t>Wake Tech: student leader / peer tutor; Disability Support Services presentation on transitioning for students with disabilities.  ECU: recruiting for Cisco Advanced Services internships.</w:t>
      </w:r>
    </w:p>
    <w:p>
      <w:pPr>
        <w:pStyle w:val="Normal"/>
        <w:keepNext w:val="true"/>
        <w:widowControl/>
        <w:pBdr>
          <w:bottom w:val="single" w:sz="12" w:space="1" w:color="1B365D"/>
        </w:pBdr>
        <w:spacing w:lineRule="exact" w:line="300" w:before="160" w:after="60"/>
        <w:rPr/>
      </w:pPr>
      <w:r>
        <w:rPr>
          <w:rFonts w:eastAsia="Calibri"/>
          <w:b/>
          <w:i w:val="false"/>
          <w:color w:val="1B365D"/>
          <w:sz w:val="24"/>
        </w:rPr>
        <w:t>CERTIFICATIONS &amp; TRAINING</w:t>
      </w:r>
    </w:p>
    <w:p>
      <w:pPr>
        <w:pStyle w:val="Normal"/>
        <w:widowControl/>
        <w:spacing w:lineRule="exact" w:line="280" w:before="60" w:after="20"/>
        <w:rPr/>
      </w:pPr>
      <w:r>
        <w:rPr>
          <w:rFonts w:eastAsia="Calibri"/>
          <w:b/>
          <w:i w:val="false"/>
          <w:color w:val="1B365D"/>
          <w:sz w:val="21"/>
        </w:rPr>
        <w:t xml:space="preserve">Cisco certifications (valid through December 2026):  </w:t>
      </w:r>
      <w:r>
        <w:rPr>
          <w:rFonts w:eastAsia="Calibri"/>
          <w:b w:val="false"/>
          <w:i w:val="false"/>
          <w:color w:val="222222"/>
          <w:sz w:val="21"/>
        </w:rPr>
        <w:t>CCNP Routing &amp; Switching; CCDP Design; CCNP Data Center; CCNA Voice.</w:t>
      </w:r>
    </w:p>
    <w:p>
      <w:pPr>
        <w:pStyle w:val="Normal"/>
        <w:widowControl/>
        <w:spacing w:lineRule="exact" w:line="280" w:before="20" w:after="20"/>
        <w:rPr/>
      </w:pPr>
      <w:r>
        <w:rPr>
          <w:rFonts w:eastAsia="Calibri"/>
          <w:b/>
          <w:i w:val="false"/>
          <w:color w:val="1B365D"/>
          <w:sz w:val="21"/>
        </w:rPr>
        <w:t xml:space="preserve">Sales enablement:  </w:t>
      </w:r>
      <w:r>
        <w:rPr>
          <w:rFonts w:eastAsia="Calibri"/>
          <w:b w:val="false"/>
          <w:i w:val="false"/>
          <w:color w:val="222222"/>
          <w:sz w:val="21"/>
        </w:rPr>
        <w:t>FY24 Services Sales (Oct 2023); IMPACT Ready ICs (Aug 2023); Cisco Recurring Revenue Metrics (Feb 2022).</w:t>
      </w:r>
    </w:p>
    <w:p>
      <w:pPr>
        <w:pStyle w:val="Normal"/>
        <w:widowControl/>
        <w:spacing w:lineRule="exact" w:line="280" w:before="20" w:after="20"/>
        <w:rPr/>
      </w:pPr>
      <w:r>
        <w:rPr>
          <w:rFonts w:eastAsia="Calibri"/>
          <w:b/>
          <w:i w:val="false"/>
          <w:color w:val="1B365D"/>
          <w:sz w:val="21"/>
        </w:rPr>
        <w:t xml:space="preserve">Additional:  </w:t>
      </w:r>
      <w:r>
        <w:rPr>
          <w:rFonts w:eastAsia="Calibri"/>
          <w:b w:val="false"/>
          <w:i w:val="false"/>
          <w:color w:val="222222"/>
          <w:sz w:val="21"/>
        </w:rPr>
        <w:t>CCIE Data Center written passed (lab date Nov 2017); VCP 6.0 DCV.</w:t>
      </w:r>
    </w:p>
    <w:p>
      <w:pPr>
        <w:pStyle w:val="Normal"/>
        <w:keepNext w:val="true"/>
        <w:widowControl/>
        <w:pBdr>
          <w:bottom w:val="single" w:sz="12" w:space="1" w:color="1B365D"/>
        </w:pBdr>
        <w:spacing w:lineRule="exact" w:line="300" w:before="160" w:after="60"/>
        <w:rPr/>
      </w:pPr>
      <w:r>
        <w:rPr>
          <w:rFonts w:eastAsia="Calibri"/>
          <w:b/>
          <w:i w:val="false"/>
          <w:color w:val="1B365D"/>
          <w:sz w:val="24"/>
        </w:rPr>
        <w:t>SKILLS</w:t>
      </w:r>
    </w:p>
    <w:p>
      <w:pPr>
        <w:pStyle w:val="Normal"/>
        <w:widowControl/>
        <w:spacing w:lineRule="exact" w:line="280" w:before="20" w:after="20"/>
        <w:rPr/>
      </w:pPr>
      <w:r>
        <w:rPr>
          <w:rFonts w:eastAsia="Calibri"/>
          <w:b/>
          <w:i w:val="false"/>
          <w:color w:val="1B365D"/>
          <w:sz w:val="21"/>
        </w:rPr>
        <w:t xml:space="preserve">Software &amp; services sales:  </w:t>
      </w:r>
      <w:r>
        <w:rPr>
          <w:rFonts w:eastAsia="Calibri"/>
          <w:b w:val="false"/>
          <w:i w:val="false"/>
          <w:color w:val="222222"/>
          <w:sz w:val="21"/>
        </w:rPr>
        <w:t>Enterprise Agreements / ELA, CXEA, Premium Services, Expert Care, LCS, Advanced Services, consumption modeling, recurring revenue, True Forward, One Cisco</w:t>
      </w:r>
    </w:p>
    <w:p>
      <w:pPr>
        <w:pStyle w:val="Normal"/>
        <w:widowControl/>
        <w:spacing w:lineRule="exact" w:line="280" w:before="20" w:after="20"/>
        <w:rPr/>
      </w:pPr>
      <w:r>
        <w:rPr>
          <w:rFonts w:eastAsia="Calibri"/>
          <w:b/>
          <w:i w:val="false"/>
          <w:color w:val="1B365D"/>
          <w:sz w:val="21"/>
        </w:rPr>
        <w:t xml:space="preserve">Architecture:  </w:t>
      </w:r>
      <w:r>
        <w:rPr>
          <w:rFonts w:eastAsia="Calibri"/>
          <w:b w:val="false"/>
          <w:i w:val="false"/>
          <w:color w:val="222222"/>
          <w:sz w:val="21"/>
        </w:rPr>
        <w:t>SD-WAN, Meraki, Security portfolio, Contact Center / UC, ACI, UCS, CloudCenter, wireless, campus / WAN, UPOE</w:t>
      </w:r>
    </w:p>
    <w:p>
      <w:pPr>
        <w:pStyle w:val="Normal"/>
        <w:widowControl/>
        <w:spacing w:lineRule="exact" w:line="280" w:before="20" w:after="20"/>
        <w:rPr/>
      </w:pPr>
      <w:r>
        <w:rPr>
          <w:rFonts w:eastAsia="Calibri"/>
          <w:b/>
          <w:i w:val="false"/>
          <w:color w:val="1B365D"/>
          <w:sz w:val="21"/>
        </w:rPr>
        <w:t xml:space="preserve">Engineering:  </w:t>
      </w:r>
      <w:r>
        <w:rPr>
          <w:rFonts w:eastAsia="Calibri"/>
          <w:b w:val="false"/>
          <w:i w:val="false"/>
          <w:color w:val="222222"/>
          <w:sz w:val="21"/>
        </w:rPr>
        <w:t>Routing &amp; switching (BGP, OSPF, EIGRP, STP/VLANs), NX-OS / IOS / IOS XR, ASA / IronPort, IPsec VPN, QoS, IPv6, packet analysis</w:t>
      </w:r>
    </w:p>
    <w:p>
      <w:pPr>
        <w:pStyle w:val="Normal"/>
        <w:widowControl/>
        <w:spacing w:lineRule="exact" w:line="280" w:before="20" w:after="20"/>
        <w:rPr/>
      </w:pPr>
      <w:r>
        <w:rPr>
          <w:rFonts w:eastAsia="Calibri"/>
          <w:b/>
          <w:i w:val="false"/>
          <w:color w:val="1B365D"/>
          <w:sz w:val="21"/>
        </w:rPr>
        <w:t xml:space="preserve">Automation &amp; tools:  </w:t>
      </w:r>
      <w:r>
        <w:rPr>
          <w:rFonts w:eastAsia="Calibri"/>
          <w:b w:val="false"/>
          <w:i w:val="false"/>
          <w:color w:val="222222"/>
          <w:sz w:val="21"/>
        </w:rPr>
        <w:t>Scripting and Cisco APIs, Wireshark, SNMP, Remedy, documentation, customer-referenced architectures</w:t>
      </w:r>
    </w:p>
    <w:p>
      <w:pPr>
        <w:pStyle w:val="Normal"/>
        <w:widowControl/>
        <w:spacing w:lineRule="exact" w:line="280" w:before="20" w:after="20"/>
        <w:rPr/>
      </w:pPr>
      <w:r>
        <w:rPr>
          <w:rFonts w:eastAsia="Calibri"/>
          <w:b/>
          <w:i w:val="false"/>
          <w:color w:val="1B365D"/>
          <w:sz w:val="21"/>
        </w:rPr>
        <w:t xml:space="preserve">Personal:  </w:t>
      </w:r>
      <w:r>
        <w:rPr>
          <w:rFonts w:eastAsia="Calibri"/>
          <w:b w:val="false"/>
          <w:i w:val="false"/>
          <w:color w:val="222222"/>
          <w:sz w:val="21"/>
        </w:rPr>
        <w:t>Customer-facing, multi-account ownership, solution-oriented, communicative, time management, flexible</w:t>
      </w:r>
    </w:p>
    <w:sectPr>
      <w:footerReference w:type="even" r:id="rId5"/>
      <w:footerReference w:type="default" r:id="rId6"/>
      <w:footerReference w:type="first" r:id="rId7"/>
      <w:type w:val="nextPage"/>
      <w:pgSz w:w="12240" w:h="15840"/>
      <w:pgMar w:left="1008" w:right="1008"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before="0" w:after="0"/>
      <w:jc w:val="center"/>
      <w:rPr/>
    </w:pPr>
    <w:r>
      <w:rPr>
        <w:rFonts w:eastAsia="Calibri"/>
        <w:b w:val="false"/>
        <w:i w:val="false"/>
        <w:color w:val="444444"/>
        <w:sz w:val="17"/>
      </w:rPr>
      <w:t xml:space="preserve">Christopher E. Childs  ·  Resume 2026 (v14)  ·  Page </w:t>
    </w:r>
    <w:r>
      <w:rPr>
        <w:rFonts w:eastAsia="Calibri"/>
        <w:b w:val="false"/>
        <w:i w:val="false"/>
        <w:color w:val="444444"/>
        <w:sz w:val="17"/>
      </w:rPr>
      <w:fldChar w:fldCharType="begin"/>
    </w:r>
    <w:r>
      <w:rPr>
        <w:sz w:val="17"/>
        <w:i w:val="false"/>
        <w:b w:val="false"/>
        <w:rFonts w:eastAsia="Calibri"/>
        <w:color w:val="444444"/>
      </w:rPr>
      <w:instrText xml:space="preserve"> PAGE </w:instrText>
    </w:r>
    <w:r>
      <w:rPr>
        <w:sz w:val="17"/>
        <w:i w:val="false"/>
        <w:b w:val="false"/>
        <w:rFonts w:eastAsia="Calibri"/>
        <w:color w:val="444444"/>
      </w:rPr>
      <w:fldChar w:fldCharType="separate"/>
    </w:r>
    <w:r>
      <w:rPr>
        <w:sz w:val="17"/>
        <w:i w:val="false"/>
        <w:b w:val="false"/>
        <w:rFonts w:eastAsia="Calibri"/>
        <w:color w:val="444444"/>
      </w:rPr>
      <w:t>2</w:t>
    </w:r>
    <w:r>
      <w:rPr>
        <w:sz w:val="17"/>
        <w:i w:val="false"/>
        <w:b w:val="false"/>
        <w:rFonts w:eastAsia="Calibri"/>
        <w:color w:val="444444"/>
      </w:rPr>
      <w:fldChar w:fldCharType="end"/>
    </w:r>
    <w:r>
      <w:rPr>
        <w:rFonts w:eastAsia="Calibri"/>
        <w:b w:val="false"/>
        <w:i w:val="false"/>
        <w:color w:val="444444"/>
        <w:sz w:val="17"/>
      </w:rPr>
      <w:t xml:space="preserve"> of </w:t>
    </w:r>
    <w:r>
      <w:rPr>
        <w:rFonts w:eastAsia="Calibri"/>
        <w:b w:val="false"/>
        <w:i w:val="false"/>
        <w:color w:val="444444"/>
        <w:sz w:val="17"/>
      </w:rPr>
      <w:fldChar w:fldCharType="begin"/>
    </w:r>
    <w:r>
      <w:rPr>
        <w:sz w:val="17"/>
        <w:i w:val="false"/>
        <w:b w:val="false"/>
        <w:rFonts w:eastAsia="Calibri"/>
        <w:color w:val="444444"/>
      </w:rPr>
      <w:instrText xml:space="preserve"> NUMPAGES </w:instrText>
    </w:r>
    <w:r>
      <w:rPr>
        <w:sz w:val="17"/>
        <w:i w:val="false"/>
        <w:b w:val="false"/>
        <w:rFonts w:eastAsia="Calibri"/>
        <w:color w:val="444444"/>
      </w:rPr>
      <w:fldChar w:fldCharType="separate"/>
    </w:r>
    <w:r>
      <w:rPr>
        <w:sz w:val="17"/>
        <w:i w:val="false"/>
        <w:b w:val="false"/>
        <w:rFonts w:eastAsia="Calibri"/>
        <w:color w:val="444444"/>
      </w:rPr>
      <w:t>2</w:t>
    </w:r>
    <w:r>
      <w:rPr>
        <w:sz w:val="17"/>
        <w:i w:val="false"/>
        <w:b w:val="false"/>
        <w:rFonts w:eastAsia="Calibri"/>
        <w:color w:val="44444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before="0" w:after="0"/>
      <w:jc w:val="center"/>
      <w:rPr/>
    </w:pPr>
    <w:r>
      <w:rPr>
        <w:rFonts w:eastAsia="Calibri"/>
        <w:b w:val="false"/>
        <w:i w:val="false"/>
        <w:color w:val="444444"/>
        <w:sz w:val="17"/>
      </w:rPr>
      <w:t xml:space="preserve">Christopher E. Childs  ·  Resume 2026 (v14)  ·  Page </w:t>
    </w:r>
    <w:r>
      <w:rPr>
        <w:rFonts w:eastAsia="Calibri"/>
        <w:b w:val="false"/>
        <w:i w:val="false"/>
        <w:color w:val="444444"/>
        <w:sz w:val="17"/>
      </w:rPr>
      <w:fldChar w:fldCharType="begin"/>
    </w:r>
    <w:r>
      <w:rPr>
        <w:sz w:val="17"/>
        <w:i w:val="false"/>
        <w:b w:val="false"/>
        <w:rFonts w:eastAsia="Calibri"/>
        <w:color w:val="444444"/>
      </w:rPr>
      <w:instrText xml:space="preserve"> PAGE </w:instrText>
    </w:r>
    <w:r>
      <w:rPr>
        <w:sz w:val="17"/>
        <w:i w:val="false"/>
        <w:b w:val="false"/>
        <w:rFonts w:eastAsia="Calibri"/>
        <w:color w:val="444444"/>
      </w:rPr>
      <w:fldChar w:fldCharType="separate"/>
    </w:r>
    <w:r>
      <w:rPr>
        <w:sz w:val="17"/>
        <w:i w:val="false"/>
        <w:b w:val="false"/>
        <w:rFonts w:eastAsia="Calibri"/>
        <w:color w:val="444444"/>
      </w:rPr>
      <w:t>2</w:t>
    </w:r>
    <w:r>
      <w:rPr>
        <w:sz w:val="17"/>
        <w:i w:val="false"/>
        <w:b w:val="false"/>
        <w:rFonts w:eastAsia="Calibri"/>
        <w:color w:val="444444"/>
      </w:rPr>
      <w:fldChar w:fldCharType="end"/>
    </w:r>
    <w:r>
      <w:rPr>
        <w:rFonts w:eastAsia="Calibri"/>
        <w:b w:val="false"/>
        <w:i w:val="false"/>
        <w:color w:val="444444"/>
        <w:sz w:val="17"/>
      </w:rPr>
      <w:t xml:space="preserve"> of </w:t>
    </w:r>
    <w:r>
      <w:rPr>
        <w:rFonts w:eastAsia="Calibri"/>
        <w:b w:val="false"/>
        <w:i w:val="false"/>
        <w:color w:val="444444"/>
        <w:sz w:val="17"/>
      </w:rPr>
      <w:fldChar w:fldCharType="begin"/>
    </w:r>
    <w:r>
      <w:rPr>
        <w:sz w:val="17"/>
        <w:i w:val="false"/>
        <w:b w:val="false"/>
        <w:rFonts w:eastAsia="Calibri"/>
        <w:color w:val="444444"/>
      </w:rPr>
      <w:instrText xml:space="preserve"> NUMPAGES </w:instrText>
    </w:r>
    <w:r>
      <w:rPr>
        <w:sz w:val="17"/>
        <w:i w:val="false"/>
        <w:b w:val="false"/>
        <w:rFonts w:eastAsia="Calibri"/>
        <w:color w:val="444444"/>
      </w:rPr>
      <w:fldChar w:fldCharType="separate"/>
    </w:r>
    <w:r>
      <w:rPr>
        <w:sz w:val="17"/>
        <w:i w:val="false"/>
        <w:b w:val="false"/>
        <w:rFonts w:eastAsia="Calibri"/>
        <w:color w:val="444444"/>
      </w:rPr>
      <w:t>2</w:t>
    </w:r>
    <w:r>
      <w:rPr>
        <w:sz w:val="17"/>
        <w:i w:val="false"/>
        <w:b w:val="false"/>
        <w:rFonts w:eastAsia="Calibri"/>
        <w:color w:val="44444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Calibri" w:cs=""/>
      <w:color w:val="222222"/>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WenQuanYi Micro Hei"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Calibri" w:hAnsi="Calibri"/>
      <w:sz w:val="21"/>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childs@cisco.com" TargetMode="External"/><Relationship Id="rId3" Type="http://schemas.openxmlformats.org/officeDocument/2006/relationships/hyperlink" Target="mailto:Chris.E.Childs@gmail.com" TargetMode="External"/><Relationship Id="rId4" Type="http://schemas.openxmlformats.org/officeDocument/2006/relationships/hyperlink" Target="https://www.linkedin.com/in/chrischildsraleigh"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Christopher E. Childs</dc:creator>
  <dc:description>Word-compatible resume; Cisco certs valid through December 2026; Raleigh, NC.</dc:description>
  <dc:language>en-US</dc:language>
  <cp:lastModifiedBy>Christopher E. Childs</cp:lastModifiedBy>
  <dcterms:modified xsi:type="dcterms:W3CDTF">2013-12-23T23:15:00Z</dcterms:modified>
  <cp:revision>1</cp:revision>
  <dc:subject>Cisco EA Architect, Premium Service Seller, and Strategic Software Sales Specialist</dc:subject>
  <dc:title>Resume — Christopher E. Childs 2026 (v14)</dc:title>
</cp:coreProperties>
</file>

<file path=docProps/custom.xml><?xml version="1.0" encoding="utf-8"?>
<Properties xmlns="http://schemas.openxmlformats.org/officeDocument/2006/custom-properties" xmlns:vt="http://schemas.openxmlformats.org/officeDocument/2006/docPropsVTypes"/>
</file>