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proofErr w:type="spellStart"/>
      <w:r>
        <w:rPr>
          <w:rFonts w:ascii="Courier" w:hAnsi="Courier" w:cs="Courier"/>
          <w:b/>
        </w:rPr>
        <w:t>DevOps</w:t>
      </w:r>
      <w:proofErr w:type="spellEnd"/>
      <w:r>
        <w:rPr>
          <w:rFonts w:ascii="Courier" w:hAnsi="Courier" w:cs="Courier"/>
          <w:b/>
        </w:rPr>
        <w:t xml:space="preserve">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w:t>
      </w:r>
      <w:proofErr w:type="spellStart"/>
      <w:r>
        <w:rPr>
          <w:rFonts w:ascii="Courier" w:hAnsi="Courier" w:cs="Courier"/>
        </w:rPr>
        <w:t>DevOps</w:t>
      </w:r>
      <w:proofErr w:type="spellEnd"/>
      <w:r>
        <w:rPr>
          <w:rFonts w:ascii="Courier" w:hAnsi="Courier" w:cs="Courier"/>
        </w:rPr>
        <w:t xml:space="preserve">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Then, use the </w:t>
      </w:r>
      <w:proofErr w:type="spellStart"/>
      <w:r>
        <w:rPr>
          <w:rFonts w:ascii="Courier" w:hAnsi="Courier" w:cs="Courier"/>
        </w:rPr>
        <w:t>Git</w:t>
      </w:r>
      <w:proofErr w:type="spellEnd"/>
      <w:r>
        <w:rPr>
          <w:rFonts w:ascii="Courier" w:hAnsi="Courier" w:cs="Courier"/>
        </w:rPr>
        <w:t xml:space="preserve">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 xml:space="preserve">My project will have a scope of delivering the project from the perspective of Automation and scalability using Puppet, </w:t>
      </w:r>
      <w:proofErr w:type="spellStart"/>
      <w:r>
        <w:rPr>
          <w:rFonts w:ascii="Courier" w:hAnsi="Courier" w:cs="Courier"/>
        </w:rPr>
        <w:t>Git</w:t>
      </w:r>
      <w:proofErr w:type="spellEnd"/>
      <w:r>
        <w:rPr>
          <w:rFonts w:ascii="Courier" w:hAnsi="Courier" w:cs="Courier"/>
        </w:rPr>
        <w:t xml:space="preserve"> Repository and Instances or </w:t>
      </w:r>
      <w:proofErr w:type="spellStart"/>
      <w:r>
        <w:rPr>
          <w:rFonts w:ascii="Courier" w:hAnsi="Courier" w:cs="Courier"/>
        </w:rPr>
        <w:t>VMs</w:t>
      </w:r>
      <w:proofErr w:type="spellEnd"/>
      <w:r>
        <w:rPr>
          <w:rFonts w:ascii="Courier" w:hAnsi="Courier" w:cs="Courier"/>
        </w:rPr>
        <w:t xml:space="preserve">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 xml:space="preserve">a matter of seconds when a </w:t>
      </w:r>
      <w:proofErr w:type="spellStart"/>
      <w:r w:rsidR="006A37CB">
        <w:rPr>
          <w:rFonts w:ascii="Courier" w:hAnsi="Courier" w:cs="Courier"/>
        </w:rPr>
        <w:t>DevOPS</w:t>
      </w:r>
      <w:proofErr w:type="spellEnd"/>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 xml:space="preserve">to the </w:t>
      </w:r>
      <w:proofErr w:type="spellStart"/>
      <w:r>
        <w:rPr>
          <w:rFonts w:ascii="Courier" w:hAnsi="Courier" w:cs="Courier"/>
        </w:rPr>
        <w:t>Git</w:t>
      </w:r>
      <w:proofErr w:type="spellEnd"/>
      <w:r>
        <w:rPr>
          <w:rFonts w:ascii="Courier" w:hAnsi="Courier" w:cs="Courier"/>
        </w:rPr>
        <w:t xml:space="preserve">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w:t>
      </w:r>
      <w:proofErr w:type="spellStart"/>
      <w:r>
        <w:rPr>
          <w:rFonts w:ascii="Courier" w:hAnsi="Courier" w:cs="Courier"/>
        </w:rPr>
        <w:t>Devops</w:t>
      </w:r>
      <w:proofErr w:type="spellEnd"/>
      <w:r>
        <w:rPr>
          <w:rFonts w:ascii="Courier" w:hAnsi="Courier" w:cs="Courier"/>
        </w:rPr>
        <w:t xml:space="preserve">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w:t>
      </w:r>
      <w:proofErr w:type="spellStart"/>
      <w:r w:rsidR="00EB3B9E">
        <w:rPr>
          <w:rFonts w:ascii="Courier" w:hAnsi="Courier" w:cs="Courier"/>
        </w:rPr>
        <w:t>git</w:t>
      </w:r>
      <w:proofErr w:type="spellEnd"/>
      <w:r w:rsidR="00EB3B9E">
        <w:rPr>
          <w:rFonts w:ascii="Courier" w:hAnsi="Courier" w:cs="Courier"/>
        </w:rPr>
        <w:t xml:space="preserve"> repository to track their changes. </w:t>
      </w:r>
      <w:r>
        <w:rPr>
          <w:rFonts w:ascii="Courier" w:hAnsi="Courier" w:cs="Courier"/>
        </w:rPr>
        <w:t>Once they are satisfied with their code, they will commit it and push it into the Centralized repository server (</w:t>
      </w:r>
      <w:proofErr w:type="spellStart"/>
      <w:r w:rsidRPr="00931BC0">
        <w:rPr>
          <w:rFonts w:ascii="Courier" w:hAnsi="Courier" w:cs="Courier"/>
          <w:b/>
        </w:rPr>
        <w:t>Git</w:t>
      </w:r>
      <w:proofErr w:type="spellEnd"/>
      <w:r w:rsidRPr="00931BC0">
        <w:rPr>
          <w:rFonts w:ascii="Courier" w:hAnsi="Courier" w:cs="Courier"/>
          <w:b/>
        </w:rPr>
        <w:t xml:space="preserve"> </w:t>
      </w:r>
      <w:r w:rsidR="00EB3B9E" w:rsidRPr="00931BC0">
        <w:rPr>
          <w:rFonts w:ascii="Courier" w:hAnsi="Courier" w:cs="Courier"/>
          <w:b/>
        </w:rPr>
        <w:t>Repository</w:t>
      </w:r>
      <w:r>
        <w:rPr>
          <w:rFonts w:ascii="Courier" w:hAnsi="Courier" w:cs="Courier"/>
        </w:rPr>
        <w:t xml:space="preserve">). The user authentication is done via </w:t>
      </w:r>
      <w:proofErr w:type="spellStart"/>
      <w:r>
        <w:rPr>
          <w:rFonts w:ascii="Courier" w:hAnsi="Courier" w:cs="Courier"/>
        </w:rPr>
        <w:t>Gitolite</w:t>
      </w:r>
      <w:proofErr w:type="spellEnd"/>
      <w:r>
        <w:rPr>
          <w:rFonts w:ascii="Courier" w:hAnsi="Courier" w:cs="Courier"/>
        </w:rPr>
        <w:t xml:space="preserv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w:t>
      </w:r>
      <w:proofErr w:type="spellStart"/>
      <w:r w:rsidR="00856E2C">
        <w:rPr>
          <w:rFonts w:ascii="Courier" w:hAnsi="Courier" w:cs="Courier"/>
        </w:rPr>
        <w:t>DevOps</w:t>
      </w:r>
      <w:proofErr w:type="spellEnd"/>
      <w:r w:rsidR="00856E2C">
        <w:rPr>
          <w:rFonts w:ascii="Courier" w:hAnsi="Courier" w:cs="Courier"/>
        </w:rPr>
        <w:t xml:space="preserve">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proofErr w:type="spellStart"/>
      <w:r w:rsidR="00931BC0" w:rsidRPr="00931BC0">
        <w:rPr>
          <w:rFonts w:ascii="Courier" w:hAnsi="Courier" w:cs="Courier"/>
          <w:b/>
        </w:rPr>
        <w:t>GitWeb</w:t>
      </w:r>
      <w:proofErr w:type="spellEnd"/>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39288B" w:rsidRPr="00FD6ACE" w:rsidRDefault="00856E2C" w:rsidP="00FD6ACE">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w:t>
      </w:r>
      <w:proofErr w:type="spellStart"/>
      <w:r>
        <w:rPr>
          <w:rFonts w:ascii="Courier" w:hAnsi="Courier" w:cs="Courier"/>
        </w:rPr>
        <w:t>rsync</w:t>
      </w:r>
      <w:proofErr w:type="spellEnd"/>
      <w:r>
        <w:rPr>
          <w:rFonts w:ascii="Courier" w:hAnsi="Courier" w:cs="Courier"/>
        </w:rPr>
        <w:t xml:space="preserve">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 xml:space="preserve">that was modified by the </w:t>
      </w:r>
      <w:proofErr w:type="spellStart"/>
      <w:r w:rsidR="00D16E73">
        <w:rPr>
          <w:rFonts w:ascii="Courier" w:hAnsi="Courier" w:cs="Courier"/>
        </w:rPr>
        <w:t>DevOPS</w:t>
      </w:r>
      <w:proofErr w:type="spellEnd"/>
      <w:r w:rsidR="00D16E73">
        <w:rPr>
          <w:rFonts w:ascii="Courier" w:hAnsi="Courier" w:cs="Courier"/>
        </w:rPr>
        <w:t xml:space="preserve"> Engineers applied t</w:t>
      </w:r>
      <w:r w:rsidR="00931BC0">
        <w:rPr>
          <w:rFonts w:ascii="Courier" w:hAnsi="Courier" w:cs="Courier"/>
        </w:rPr>
        <w:t>o the</w:t>
      </w:r>
      <w:r w:rsidR="00D16E73">
        <w:rPr>
          <w:rFonts w:ascii="Courier" w:hAnsi="Courier" w:cs="Courier"/>
        </w:rPr>
        <w:t xml:space="preserve"> puppet nodes</w:t>
      </w:r>
      <w:r w:rsidR="00FD6ACE">
        <w:rPr>
          <w:rFonts w:ascii="Courier" w:hAnsi="Courier" w:cs="Courier"/>
        </w:rPr>
        <w:t xml:space="preserve"> </w:t>
      </w: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 xml:space="preserve">Here’s a detailed description of our </w:t>
      </w:r>
      <w:proofErr w:type="spellStart"/>
      <w:r>
        <w:rPr>
          <w:rFonts w:ascii="Courier" w:hAnsi="Courier" w:cs="Courier"/>
        </w:rPr>
        <w:t>DevOPs</w:t>
      </w:r>
      <w:proofErr w:type="spellEnd"/>
      <w:r>
        <w:rPr>
          <w:rFonts w:ascii="Courier" w:hAnsi="Courier" w:cs="Courier"/>
        </w:rPr>
        <w:t xml:space="preserve">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 xml:space="preserve">Network </w:t>
      </w:r>
      <w:proofErr w:type="spellStart"/>
      <w:r w:rsidRPr="00CD26CD">
        <w:rPr>
          <w:rFonts w:ascii="Courier" w:hAnsi="Courier" w:cs="Courier"/>
          <w:b/>
        </w:rPr>
        <w:t>ACLs</w:t>
      </w:r>
      <w:proofErr w:type="spellEnd"/>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w:t>
      </w:r>
      <w:proofErr w:type="spellStart"/>
      <w:r w:rsidR="005A0124">
        <w:rPr>
          <w:rFonts w:ascii="Helvetica Neue" w:hAnsi="Helvetica Neue" w:cs="Helvetica Neue"/>
        </w:rPr>
        <w:t>rsync</w:t>
      </w:r>
      <w:proofErr w:type="spellEnd"/>
      <w:r w:rsidR="005A0124">
        <w:rPr>
          <w:rFonts w:ascii="Helvetica Neue" w:hAnsi="Helvetica Neue" w:cs="Helvetica Neue"/>
        </w:rPr>
        <w:t xml:space="preserve">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w:t>
      </w:r>
      <w:proofErr w:type="spellStart"/>
      <w:r w:rsidR="00D16E73">
        <w:rPr>
          <w:rFonts w:ascii="Helvetica Neue" w:hAnsi="Helvetica Neue" w:cs="Helvetica Neue"/>
        </w:rPr>
        <w:t>DevOps</w:t>
      </w:r>
      <w:proofErr w:type="spellEnd"/>
      <w:r w:rsidR="00D16E73">
        <w:rPr>
          <w:rFonts w:ascii="Helvetica Neue" w:hAnsi="Helvetica Neue" w:cs="Helvetica Neue"/>
        </w:rPr>
        <w:t xml:space="preserve">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proofErr w:type="spellStart"/>
      <w:r w:rsidR="00DF036A" w:rsidRPr="00DF036A">
        <w:rPr>
          <w:rFonts w:ascii="Helvetica Neue" w:hAnsi="Helvetica Neue" w:cs="Helvetica Neue"/>
          <w:b/>
        </w:rPr>
        <w:t>vhost</w:t>
      </w:r>
      <w:proofErr w:type="spellEnd"/>
      <w:r w:rsidR="00DF036A">
        <w:rPr>
          <w:rFonts w:ascii="Helvetica Neue" w:hAnsi="Helvetica Neue" w:cs="Helvetica Neue"/>
        </w:rPr>
        <w:t xml:space="preserve"> file in /etc/</w:t>
      </w:r>
      <w:proofErr w:type="spellStart"/>
      <w:r w:rsidR="00DF036A">
        <w:rPr>
          <w:rFonts w:ascii="Helvetica Neue" w:hAnsi="Helvetica Neue" w:cs="Helvetica Neue"/>
        </w:rPr>
        <w:t>httpd</w:t>
      </w:r>
      <w:proofErr w:type="spellEnd"/>
      <w:r w:rsidR="00DF036A">
        <w:rPr>
          <w:rFonts w:ascii="Helvetica Neue" w:hAnsi="Helvetica Neue" w:cs="Helvetica Neue"/>
        </w:rPr>
        <w:t xml:space="preserve">/conf/ directory and call it </w:t>
      </w:r>
      <w:proofErr w:type="spellStart"/>
      <w:r w:rsidR="00DF036A" w:rsidRPr="00DF036A">
        <w:rPr>
          <w:rFonts w:ascii="Helvetica Neue" w:hAnsi="Helvetica Neue" w:cs="Helvetica Neue"/>
          <w:b/>
        </w:rPr>
        <w:t>vhost.conf</w:t>
      </w:r>
      <w:proofErr w:type="spellEnd"/>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w:t>
      </w:r>
      <w:proofErr w:type="spellStart"/>
      <w:r>
        <w:rPr>
          <w:rFonts w:ascii="Helvetica Neue" w:hAnsi="Helvetica Neue" w:cs="Helvetica Neue"/>
        </w:rPr>
        <w:t>mins</w:t>
      </w:r>
      <w:proofErr w:type="spellEnd"/>
      <w:r>
        <w:rPr>
          <w:rFonts w:ascii="Helvetica Neue" w:hAnsi="Helvetica Neue" w:cs="Helvetica Neue"/>
        </w:rPr>
        <w:t xml:space="preserve"> </w:t>
      </w:r>
      <w:proofErr w:type="gramStart"/>
      <w:r>
        <w:rPr>
          <w:rFonts w:ascii="Helvetica Neue" w:hAnsi="Helvetica Neue" w:cs="Helvetica Neue"/>
        </w:rPr>
        <w:t>( default</w:t>
      </w:r>
      <w:proofErr w:type="gramEnd"/>
      <w:r>
        <w:rPr>
          <w:rFonts w:ascii="Helvetica Neue" w:hAnsi="Helvetica Neue" w:cs="Helvetica Neue"/>
        </w:rPr>
        <w:t xml:space="preserve">) or however long that you configure your interval in </w:t>
      </w:r>
      <w:proofErr w:type="spellStart"/>
      <w:r>
        <w:rPr>
          <w:rFonts w:ascii="Helvetica Neue" w:hAnsi="Helvetica Neue" w:cs="Helvetica Neue"/>
        </w:rPr>
        <w:t>puppet.conf</w:t>
      </w:r>
      <w:proofErr w:type="spellEnd"/>
      <w:r>
        <w:rPr>
          <w:rFonts w:ascii="Helvetica Neue" w:hAnsi="Helvetica Neue" w:cs="Helvetica Neue"/>
        </w:rPr>
        <w:t xml:space="preserve">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w:t>
      </w:r>
      <w:proofErr w:type="spellStart"/>
      <w:r>
        <w:rPr>
          <w:rFonts w:ascii="Courier" w:hAnsi="Courier" w:cs="Courier"/>
        </w:rPr>
        <w:t>httpd</w:t>
      </w:r>
      <w:proofErr w:type="spellEnd"/>
      <w:r>
        <w:rPr>
          <w:rFonts w:ascii="Courier" w:hAnsi="Courier" w:cs="Courier"/>
        </w:rPr>
        <w:t xml:space="preserve">. The task of it is to install </w:t>
      </w:r>
      <w:proofErr w:type="spellStart"/>
      <w:r>
        <w:rPr>
          <w:rFonts w:ascii="Courier" w:hAnsi="Courier" w:cs="Courier"/>
        </w:rPr>
        <w:t>httpd</w:t>
      </w:r>
      <w:proofErr w:type="spellEnd"/>
      <w:r>
        <w:rPr>
          <w:rFonts w:ascii="Courier" w:hAnsi="Courier" w:cs="Courier"/>
        </w:rPr>
        <w:t xml:space="preserve"> package resource, generate an index.html under </w:t>
      </w:r>
      <w:proofErr w:type="spellStart"/>
      <w:r>
        <w:rPr>
          <w:rFonts w:ascii="Courier" w:hAnsi="Courier" w:cs="Courier"/>
        </w:rPr>
        <w:t>Docroot</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 xml:space="preserve">/www/html and start/restart the </w:t>
      </w:r>
      <w:proofErr w:type="spellStart"/>
      <w:r>
        <w:rPr>
          <w:rFonts w:ascii="Courier" w:hAnsi="Courier" w:cs="Courier"/>
        </w:rPr>
        <w:t>httpd</w:t>
      </w:r>
      <w:proofErr w:type="spellEnd"/>
      <w:r>
        <w:rPr>
          <w:rFonts w:ascii="Courier" w:hAnsi="Courier" w:cs="Courier"/>
        </w:rPr>
        <w:t xml:space="preserve"> service whenever there’s a change to the </w:t>
      </w:r>
      <w:proofErr w:type="spellStart"/>
      <w:r w:rsidR="0072634D">
        <w:rPr>
          <w:rFonts w:ascii="Courier" w:hAnsi="Courier" w:cs="Courier"/>
        </w:rPr>
        <w:t>httpd</w:t>
      </w:r>
      <w:proofErr w:type="spellEnd"/>
      <w:r w:rsidR="0072634D">
        <w:rPr>
          <w:rFonts w:ascii="Courier" w:hAnsi="Courier" w:cs="Courier"/>
        </w:rPr>
        <w:t xml:space="preserve"> configuration file </w:t>
      </w:r>
      <w:proofErr w:type="spellStart"/>
      <w:r w:rsidR="0072634D">
        <w:rPr>
          <w:rFonts w:ascii="Courier" w:hAnsi="Courier" w:cs="Courier"/>
        </w:rPr>
        <w:t>httpd.conf</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p>
    <w:p w:rsidR="00A22247"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w:t>
      </w:r>
      <w:proofErr w:type="spellStart"/>
      <w:r>
        <w:rPr>
          <w:rFonts w:ascii="Courier" w:hAnsi="Courier" w:cs="Courier"/>
        </w:rPr>
        <w:t>Regex</w:t>
      </w:r>
      <w:proofErr w:type="spellEnd"/>
      <w:r>
        <w:rPr>
          <w:rFonts w:ascii="Courier" w:hAnsi="Courier" w:cs="Courier"/>
        </w:rPr>
        <w:t xml:space="preserve"> match to apply the puppet code over to the agent nodes that we want the puppet code applied on from the </w:t>
      </w:r>
      <w:r w:rsidRPr="00A22247">
        <w:rPr>
          <w:rFonts w:ascii="Courier" w:hAnsi="Courier" w:cs="Courier"/>
          <w:b/>
        </w:rPr>
        <w:t>Puppet Dashboard</w:t>
      </w:r>
      <w:r>
        <w:rPr>
          <w:rFonts w:ascii="Courier" w:hAnsi="Courier" w:cs="Courier"/>
        </w:rPr>
        <w:t>.</w:t>
      </w:r>
      <w:r w:rsidR="00A22247">
        <w:rPr>
          <w:rFonts w:ascii="Courier" w:hAnsi="Courier" w:cs="Courier"/>
        </w:rPr>
        <w:t xml:space="preserve"> Lets call them apache01, apache02 and apache03. You can configure an </w:t>
      </w:r>
      <w:r w:rsidR="00A22247" w:rsidRPr="00A22247">
        <w:rPr>
          <w:rFonts w:ascii="Courier" w:hAnsi="Courier" w:cs="Courier"/>
          <w:b/>
        </w:rPr>
        <w:t>elastic load balancer</w:t>
      </w:r>
      <w:r w:rsidR="00A22247">
        <w:rPr>
          <w:rFonts w:ascii="Courier" w:hAnsi="Courier" w:cs="Courier"/>
        </w:rPr>
        <w:t xml:space="preserve"> to balance the traffic across those nodes. On the puppet master command line, it can be done as shown below.</w:t>
      </w:r>
    </w:p>
    <w:p w:rsidR="005A0124" w:rsidRDefault="005A0124" w:rsidP="005A0124">
      <w:pPr>
        <w:widowControl w:val="0"/>
        <w:autoSpaceDE w:val="0"/>
        <w:autoSpaceDN w:val="0"/>
        <w:adjustRightInd w:val="0"/>
        <w:spacing w:after="0"/>
        <w:rPr>
          <w:rFonts w:ascii="Courier" w:hAnsi="Courier" w:cs="Courier"/>
        </w:rPr>
      </w:pPr>
    </w:p>
    <w:p w:rsidR="00A22247" w:rsidRDefault="00A22247" w:rsidP="005A0124">
      <w:pPr>
        <w:rPr>
          <w:rFonts w:ascii="Helvetica Neue" w:hAnsi="Helvetica Neue" w:cs="Helvetica Neue"/>
        </w:rPr>
      </w:pPr>
      <w:r>
        <w:rPr>
          <w:rFonts w:ascii="Helvetica Neue" w:hAnsi="Helvetica Neue" w:cs="Helvetica Neue"/>
        </w:rPr>
        <w:t xml:space="preserve">For </w:t>
      </w:r>
      <w:proofErr w:type="gramStart"/>
      <w:r>
        <w:rPr>
          <w:rFonts w:ascii="Helvetica Neue" w:hAnsi="Helvetica Neue" w:cs="Helvetica Neue"/>
        </w:rPr>
        <w:t>example :</w:t>
      </w:r>
      <w:proofErr w:type="gramEnd"/>
      <w:r>
        <w:rPr>
          <w:rFonts w:ascii="Helvetica Neue" w:hAnsi="Helvetica Neue" w:cs="Helvetica Neue"/>
        </w:rPr>
        <w:t xml:space="preserve"> In </w:t>
      </w:r>
      <w:proofErr w:type="spellStart"/>
      <w:r>
        <w:rPr>
          <w:rFonts w:ascii="Helvetica Neue" w:hAnsi="Helvetica Neue" w:cs="Helvetica Neue"/>
        </w:rPr>
        <w:t>node.pp</w:t>
      </w:r>
      <w:proofErr w:type="spellEnd"/>
      <w:r>
        <w:rPr>
          <w:rFonts w:ascii="Helvetica Neue" w:hAnsi="Helvetica Neue" w:cs="Helvetica Neue"/>
        </w:rPr>
        <w:t xml:space="preserve"> file, have a </w:t>
      </w:r>
      <w:proofErr w:type="spellStart"/>
      <w:r>
        <w:rPr>
          <w:rFonts w:ascii="Helvetica Neue" w:hAnsi="Helvetica Neue" w:cs="Helvetica Neue"/>
        </w:rPr>
        <w:t>regex</w:t>
      </w:r>
      <w:proofErr w:type="spellEnd"/>
      <w:r>
        <w:rPr>
          <w:rFonts w:ascii="Helvetica Neue" w:hAnsi="Helvetica Neue" w:cs="Helvetica Neue"/>
        </w:rPr>
        <w:t xml:space="preserve"> match as shown below</w:t>
      </w:r>
    </w:p>
    <w:p w:rsidR="00A22247" w:rsidRDefault="00A22247" w:rsidP="005A0124">
      <w:pPr>
        <w:rPr>
          <w:rFonts w:ascii="Helvetica Neue" w:hAnsi="Helvetica Neue" w:cs="Helvetica Neue"/>
        </w:rPr>
      </w:pPr>
      <w:proofErr w:type="gramStart"/>
      <w:r>
        <w:rPr>
          <w:rFonts w:ascii="Helvetica Neue" w:hAnsi="Helvetica Neue" w:cs="Helvetica Neue"/>
        </w:rPr>
        <w:t>node</w:t>
      </w:r>
      <w:proofErr w:type="gramEnd"/>
      <w:r>
        <w:rPr>
          <w:rFonts w:ascii="Helvetica Neue" w:hAnsi="Helvetica Neue" w:cs="Helvetica Neue"/>
        </w:rPr>
        <w:t xml:space="preserve"> /^apache</w:t>
      </w:r>
      <w:r w:rsidR="002D43E2">
        <w:rPr>
          <w:rFonts w:ascii="Helvetica Neue" w:hAnsi="Helvetica Neue" w:cs="Helvetica Neue"/>
        </w:rPr>
        <w:t>.</w:t>
      </w:r>
      <w:r>
        <w:rPr>
          <w:rFonts w:ascii="Helvetica Neue" w:hAnsi="Helvetica Neue" w:cs="Helvetica Neue"/>
        </w:rPr>
        <w:t xml:space="preserve">*$/ { </w:t>
      </w:r>
    </w:p>
    <w:p w:rsidR="00A22247" w:rsidRDefault="00A22247" w:rsidP="005A0124">
      <w:pPr>
        <w:rPr>
          <w:rFonts w:ascii="Helvetica Neue" w:hAnsi="Helvetica Neue" w:cs="Helvetica Neue"/>
        </w:rPr>
      </w:pPr>
      <w:proofErr w:type="gramStart"/>
      <w:r>
        <w:rPr>
          <w:rFonts w:ascii="Helvetica Neue" w:hAnsi="Helvetica Neue" w:cs="Helvetica Neue"/>
        </w:rPr>
        <w:t>class</w:t>
      </w:r>
      <w:proofErr w:type="gramEnd"/>
      <w:r>
        <w:rPr>
          <w:rFonts w:ascii="Helvetica Neue" w:hAnsi="Helvetica Neue" w:cs="Helvetica Neue"/>
        </w:rPr>
        <w:t xml:space="preserve"> { </w:t>
      </w:r>
      <w:proofErr w:type="spellStart"/>
      <w:r>
        <w:rPr>
          <w:rFonts w:ascii="Helvetica Neue" w:hAnsi="Helvetica Neue" w:cs="Helvetica Neue"/>
        </w:rPr>
        <w:t>httpd</w:t>
      </w:r>
      <w:proofErr w:type="spellEnd"/>
      <w:r>
        <w:rPr>
          <w:rFonts w:ascii="Helvetica Neue" w:hAnsi="Helvetica Neue" w:cs="Helvetica Neue"/>
        </w:rPr>
        <w:t>: }</w:t>
      </w:r>
    </w:p>
    <w:p w:rsidR="005A0124" w:rsidRDefault="00A22247" w:rsidP="005A0124">
      <w:pPr>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The below code is just one way of writing a puppet manifest and I’m not dividing it into separate sub-classes in order to keep it relevant to our project. Off-course, we can create a separate puppet module for it and scale it as you like but the crux or c</w:t>
      </w:r>
      <w:r w:rsidR="00A22247">
        <w:rPr>
          <w:rFonts w:ascii="Courier" w:hAnsi="Courier" w:cs="Courier"/>
        </w:rPr>
        <w:t>ore of the code looks like this</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proofErr w:type="spellStart"/>
      <w:r w:rsidR="00AE3C7B">
        <w:rPr>
          <w:rFonts w:ascii="Courier" w:hAnsi="Courier" w:cs="Courier"/>
          <w:b/>
          <w:u w:val="single"/>
        </w:rPr>
        <w:t>init.pp</w:t>
      </w:r>
      <w:proofErr w:type="spellEnd"/>
      <w:r w:rsidR="00AE3C7B">
        <w:rPr>
          <w:rFonts w:ascii="Courier" w:hAnsi="Courier" w:cs="Courier"/>
          <w:b/>
          <w:u w:val="single"/>
        </w:rPr>
        <w:t xml:space="preserve"> for </w:t>
      </w:r>
      <w:proofErr w:type="spellStart"/>
      <w:r w:rsidR="00AE3C7B">
        <w:rPr>
          <w:rFonts w:ascii="Courier" w:hAnsi="Courier" w:cs="Courier"/>
          <w:b/>
          <w:u w:val="single"/>
        </w:rPr>
        <w:t>httpd</w:t>
      </w:r>
      <w:proofErr w:type="spellEnd"/>
      <w:r w:rsidR="00AE3C7B">
        <w:rPr>
          <w:rFonts w:ascii="Courier" w:hAnsi="Courier" w:cs="Courier"/>
          <w:b/>
          <w:u w:val="single"/>
        </w:rPr>
        <w:t xml:space="preserve"> </w:t>
      </w:r>
      <w:proofErr w:type="gramStart"/>
      <w:r w:rsidR="00AE3C7B">
        <w:rPr>
          <w:rFonts w:ascii="Courier" w:hAnsi="Courier" w:cs="Courier"/>
          <w:b/>
          <w:u w:val="single"/>
        </w:rPr>
        <w:t xml:space="preserve">( </w:t>
      </w:r>
      <w:r w:rsidRPr="0039288B">
        <w:rPr>
          <w:rFonts w:ascii="Courier" w:hAnsi="Courier" w:cs="Courier"/>
          <w:b/>
          <w:u w:val="single"/>
        </w:rPr>
        <w:t>Puppet</w:t>
      </w:r>
      <w:proofErr w:type="gramEnd"/>
      <w:r w:rsidRPr="0039288B">
        <w:rPr>
          <w:rFonts w:ascii="Courier" w:hAnsi="Courier" w:cs="Courier"/>
          <w:b/>
          <w:u w:val="single"/>
        </w:rPr>
        <w:t xml:space="preserve"> Code to be applied</w:t>
      </w:r>
      <w:r w:rsidR="00AE3C7B">
        <w:rPr>
          <w:rFonts w:ascii="Courier" w:hAnsi="Courier" w:cs="Courier"/>
          <w:b/>
          <w:u w:val="single"/>
        </w:rPr>
        <w:t>)</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roofErr w:type="gramStart"/>
      <w:r>
        <w:rPr>
          <w:rFonts w:ascii="Menlo Regular" w:hAnsi="Menlo Regular" w:cs="Menlo Regular"/>
          <w:color w:val="000000"/>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 xml:space="preserve"> {</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package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'installed',</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file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httpd.conf</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=&gt; '/etc/</w:t>
      </w:r>
      <w:proofErr w:type="spellStart"/>
      <w:r>
        <w:rPr>
          <w:rFonts w:ascii="Menlo Regular" w:hAnsi="Menlo Regular" w:cs="Menlo Regular"/>
          <w:color w:val="000000"/>
          <w:sz w:val="22"/>
          <w:szCs w:val="22"/>
        </w:rPr>
        <w:t>httpd/conf/httpd.conf</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'present', </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=&gt; 'puppet:///modules/</w:t>
      </w:r>
      <w:proofErr w:type="spellStart"/>
      <w:r>
        <w:rPr>
          <w:rFonts w:ascii="Menlo Regular" w:hAnsi="Menlo Regular" w:cs="Menlo Regular"/>
          <w:color w:val="000000"/>
          <w:sz w:val="22"/>
          <w:szCs w:val="22"/>
        </w:rPr>
        <w:t>httpd/httpd.conf</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owner</w:t>
      </w:r>
      <w:proofErr w:type="gramEnd"/>
      <w:r>
        <w:rPr>
          <w:rFonts w:ascii="Menlo Regular" w:hAnsi="Menlo Regular" w:cs="Menlo Regular"/>
          <w:color w:val="000000"/>
          <w:sz w:val="22"/>
          <w:szCs w:val="22"/>
        </w:rPr>
        <w:t xml:space="preserve">   =&gt; 'root',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group</w:t>
      </w:r>
      <w:proofErr w:type="gramEnd"/>
      <w:r>
        <w:rPr>
          <w:rFonts w:ascii="Menlo Regular" w:hAnsi="Menlo Regular" w:cs="Menlo Regular"/>
          <w:color w:val="000000"/>
          <w:sz w:val="22"/>
          <w:szCs w:val="22"/>
        </w:rPr>
        <w:t xml:space="preserve">   =&gt; 'root',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mode</w:t>
      </w:r>
      <w:proofErr w:type="gramEnd"/>
      <w:r>
        <w:rPr>
          <w:rFonts w:ascii="Menlo Regular" w:hAnsi="Menlo Regular" w:cs="Menlo Regular"/>
          <w:color w:val="000000"/>
          <w:sz w:val="22"/>
          <w:szCs w:val="22"/>
        </w:rPr>
        <w:t xml:space="preserve">    =&gt; '644',</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require</w:t>
      </w:r>
      <w:proofErr w:type="gramEnd"/>
      <w:r>
        <w:rPr>
          <w:rFonts w:ascii="Menlo Regular" w:hAnsi="Menlo Regular" w:cs="Menlo Regular"/>
          <w:color w:val="000000"/>
          <w:sz w:val="22"/>
          <w:szCs w:val="22"/>
        </w:rPr>
        <w:t xml:space="preserve"> =&gt; Package['</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notify</w:t>
      </w:r>
      <w:proofErr w:type="gramEnd"/>
      <w:r>
        <w:rPr>
          <w:rFonts w:ascii="Menlo Regular" w:hAnsi="Menlo Regular" w:cs="Menlo Regular"/>
          <w:color w:val="000000"/>
          <w:sz w:val="22"/>
          <w:szCs w:val="22"/>
        </w:rPr>
        <w:t xml:space="preserve">  =&gt; Service['</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file</w:t>
      </w:r>
      <w:proofErr w:type="gramEnd"/>
      <w:r>
        <w:rPr>
          <w:rFonts w:ascii="Menlo Regular" w:hAnsi="Menlo Regular" w:cs="Menlo Regular"/>
          <w:color w:val="000000"/>
          <w:sz w:val="22"/>
          <w:szCs w:val="22"/>
        </w:rPr>
        <w:t xml:space="preserve"> { 'index.html':</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=&gt; '/var/www/html/index.html',</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'file',</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=&gt; 'puppet:///modules/httpd/index.html',</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owner</w:t>
      </w:r>
      <w:proofErr w:type="gramEnd"/>
      <w:r>
        <w:rPr>
          <w:rFonts w:ascii="Menlo Regular" w:hAnsi="Menlo Regular" w:cs="Menlo Regular"/>
          <w:color w:val="000000"/>
          <w:sz w:val="22"/>
          <w:szCs w:val="22"/>
        </w:rPr>
        <w:t xml:space="preserve">   =&gt; 'root',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group</w:t>
      </w:r>
      <w:proofErr w:type="gramEnd"/>
      <w:r>
        <w:rPr>
          <w:rFonts w:ascii="Menlo Regular" w:hAnsi="Menlo Regular" w:cs="Menlo Regular"/>
          <w:color w:val="000000"/>
          <w:sz w:val="22"/>
          <w:szCs w:val="22"/>
        </w:rPr>
        <w:t xml:space="preserve">   =&gt; 'root',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mode</w:t>
      </w:r>
      <w:proofErr w:type="gramEnd"/>
      <w:r>
        <w:rPr>
          <w:rFonts w:ascii="Menlo Regular" w:hAnsi="Menlo Regular" w:cs="Menlo Regular"/>
          <w:color w:val="000000"/>
          <w:sz w:val="22"/>
          <w:szCs w:val="22"/>
        </w:rPr>
        <w:t xml:space="preserve">    =&gt; '755',</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require</w:t>
      </w:r>
      <w:proofErr w:type="gramEnd"/>
      <w:r>
        <w:rPr>
          <w:rFonts w:ascii="Menlo Regular" w:hAnsi="Menlo Regular" w:cs="Menlo Regular"/>
          <w:color w:val="000000"/>
          <w:sz w:val="22"/>
          <w:szCs w:val="22"/>
        </w:rPr>
        <w:t xml:space="preserve"> =&gt; Package['</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notify</w:t>
      </w:r>
      <w:proofErr w:type="gramEnd"/>
      <w:r>
        <w:rPr>
          <w:rFonts w:ascii="Menlo Regular" w:hAnsi="Menlo Regular" w:cs="Menlo Regular"/>
          <w:color w:val="000000"/>
          <w:sz w:val="22"/>
          <w:szCs w:val="22"/>
        </w:rPr>
        <w:t xml:space="preserve">  =&gt; Service['</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service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'running',</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enable</w:t>
      </w:r>
      <w:proofErr w:type="gramEnd"/>
      <w:r>
        <w:rPr>
          <w:rFonts w:ascii="Menlo Regular" w:hAnsi="Menlo Regular" w:cs="Menlo Regular"/>
          <w:color w:val="000000"/>
          <w:sz w:val="22"/>
          <w:szCs w:val="22"/>
        </w:rPr>
        <w:t xml:space="preserve">     =&gt; true,</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hasstatus</w:t>
      </w:r>
      <w:proofErr w:type="spellEnd"/>
      <w:proofErr w:type="gramEnd"/>
      <w:r>
        <w:rPr>
          <w:rFonts w:ascii="Menlo Regular" w:hAnsi="Menlo Regular" w:cs="Menlo Regular"/>
          <w:color w:val="000000"/>
          <w:sz w:val="22"/>
          <w:szCs w:val="22"/>
        </w:rPr>
        <w:t xml:space="preserve">  =&gt; true,</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hasrestart</w:t>
      </w:r>
      <w:proofErr w:type="spellEnd"/>
      <w:proofErr w:type="gramEnd"/>
      <w:r>
        <w:rPr>
          <w:rFonts w:ascii="Menlo Regular" w:hAnsi="Menlo Regular" w:cs="Menlo Regular"/>
          <w:color w:val="000000"/>
          <w:sz w:val="22"/>
          <w:szCs w:val="22"/>
        </w:rPr>
        <w:t xml:space="preserve"> =&gt; true,</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require</w:t>
      </w:r>
      <w:proofErr w:type="gramEnd"/>
      <w:r>
        <w:rPr>
          <w:rFonts w:ascii="Menlo Regular" w:hAnsi="Menlo Regular" w:cs="Menlo Regular"/>
          <w:color w:val="000000"/>
          <w:sz w:val="22"/>
          <w:szCs w:val="22"/>
        </w:rPr>
        <w:t xml:space="preserve">    =&gt; Package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281613" w:rsidRDefault="00281613" w:rsidP="00281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81613" w:rsidRDefault="00281613" w:rsidP="00BB48B9">
      <w:pPr>
        <w:rPr>
          <w:rFonts w:ascii="Menlo Regular" w:hAnsi="Menlo Regular" w:cs="Menlo Regular"/>
          <w:color w:val="000000"/>
          <w:sz w:val="22"/>
          <w:szCs w:val="22"/>
        </w:rPr>
      </w:pPr>
      <w:r>
        <w:rPr>
          <w:rFonts w:ascii="Menlo Regular" w:hAnsi="Menlo Regular" w:cs="Menlo Regular"/>
          <w:color w:val="000000"/>
          <w:sz w:val="22"/>
          <w:szCs w:val="22"/>
        </w:rPr>
        <w:t>}</w:t>
      </w: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proofErr w:type="spellStart"/>
      <w:r w:rsidR="001211B7">
        <w:rPr>
          <w:rFonts w:ascii="Helvetica Neue" w:hAnsi="Helvetica Neue" w:cs="Helvetica Neue"/>
        </w:rPr>
        <w:t>DevOPS</w:t>
      </w:r>
      <w:proofErr w:type="spellEnd"/>
      <w:r w:rsidR="001211B7">
        <w:rPr>
          <w:rFonts w:ascii="Helvetica Neue" w:hAnsi="Helvetica Neue" w:cs="Helvetica Neue"/>
        </w:rPr>
        <w:t xml:space="preserve"> project that was asked of me. H</w:t>
      </w:r>
      <w:r w:rsidR="00D63603">
        <w:rPr>
          <w:rFonts w:ascii="Helvetica Neue" w:hAnsi="Helvetica Neue" w:cs="Helvetica Neue"/>
        </w:rPr>
        <w:t>owever, that’s just a trailer (</w:t>
      </w:r>
      <w:r w:rsidR="001211B7">
        <w:rPr>
          <w:rFonts w:ascii="Helvetica Neue" w:hAnsi="Helvetica Neue" w:cs="Helvetica Neue"/>
        </w:rPr>
        <w:t xml:space="preserve">if you call it that) and there’s more to it. If you want any of the applications scalable, </w:t>
      </w:r>
      <w:r w:rsidR="00D63603">
        <w:rPr>
          <w:rFonts w:ascii="Helvetica Neue" w:hAnsi="Helvetica Neue" w:cs="Helvetica Neue"/>
        </w:rPr>
        <w:t>there are other ways to do it as well. W</w:t>
      </w:r>
      <w:r w:rsidR="001211B7">
        <w:rPr>
          <w:rFonts w:ascii="Helvetica Neue" w:hAnsi="Helvetica Neue" w:cs="Helvetica Neue"/>
        </w:rPr>
        <w:t xml:space="preserve">e can </w:t>
      </w:r>
      <w:r w:rsidR="00D63603">
        <w:rPr>
          <w:rFonts w:ascii="Helvetica Neue" w:hAnsi="Helvetica Neue" w:cs="Helvetica Neue"/>
        </w:rPr>
        <w:t>make use of the</w:t>
      </w:r>
      <w:r w:rsidR="001211B7">
        <w:rPr>
          <w:rFonts w:ascii="Helvetica Neue" w:hAnsi="Helvetica Neue" w:cs="Helvetica Neue"/>
        </w:rPr>
        <w:t xml:space="preserve"> continuous integration and </w:t>
      </w:r>
      <w:proofErr w:type="spellStart"/>
      <w:r w:rsidR="001211B7">
        <w:rPr>
          <w:rFonts w:ascii="Helvetica Neue" w:hAnsi="Helvetica Neue" w:cs="Helvetica Neue"/>
        </w:rPr>
        <w:t>continous</w:t>
      </w:r>
      <w:proofErr w:type="spellEnd"/>
      <w:r w:rsidR="001211B7">
        <w:rPr>
          <w:rFonts w:ascii="Helvetica Neue" w:hAnsi="Helvetica Neue" w:cs="Helvetica Neue"/>
        </w:rPr>
        <w:t xml:space="preserve"> deployment </w:t>
      </w:r>
      <w:r w:rsidR="00D63603">
        <w:rPr>
          <w:rFonts w:ascii="Helvetica Neue" w:hAnsi="Helvetica Neue" w:cs="Helvetica Neue"/>
        </w:rPr>
        <w:t xml:space="preserve">workflow using the CI/CD tools </w:t>
      </w:r>
      <w:r w:rsidR="001211B7">
        <w:rPr>
          <w:rFonts w:ascii="Helvetica Neue" w:hAnsi="Helvetica Neue" w:cs="Helvetica Neue"/>
        </w:rPr>
        <w:t xml:space="preserve">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5558E"/>
    <w:rsid w:val="001A77F2"/>
    <w:rsid w:val="00281613"/>
    <w:rsid w:val="002C08E1"/>
    <w:rsid w:val="002D43E2"/>
    <w:rsid w:val="0039288B"/>
    <w:rsid w:val="004137FB"/>
    <w:rsid w:val="00432CA1"/>
    <w:rsid w:val="004B06A7"/>
    <w:rsid w:val="004C1019"/>
    <w:rsid w:val="004D6419"/>
    <w:rsid w:val="005A0124"/>
    <w:rsid w:val="006A37CB"/>
    <w:rsid w:val="006B0DEB"/>
    <w:rsid w:val="006B30F1"/>
    <w:rsid w:val="0072634D"/>
    <w:rsid w:val="00804268"/>
    <w:rsid w:val="00856E2C"/>
    <w:rsid w:val="008A5D75"/>
    <w:rsid w:val="00907581"/>
    <w:rsid w:val="00907DB1"/>
    <w:rsid w:val="00931BC0"/>
    <w:rsid w:val="009840D2"/>
    <w:rsid w:val="009C7DFA"/>
    <w:rsid w:val="00A22247"/>
    <w:rsid w:val="00AE3C7B"/>
    <w:rsid w:val="00AE525B"/>
    <w:rsid w:val="00B31E0B"/>
    <w:rsid w:val="00B40098"/>
    <w:rsid w:val="00BB48B9"/>
    <w:rsid w:val="00CD26CD"/>
    <w:rsid w:val="00D16E73"/>
    <w:rsid w:val="00D63603"/>
    <w:rsid w:val="00DD6F3B"/>
    <w:rsid w:val="00DF036A"/>
    <w:rsid w:val="00E1738F"/>
    <w:rsid w:val="00E82555"/>
    <w:rsid w:val="00EB3B9E"/>
    <w:rsid w:val="00FD6AC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1179</Words>
  <Characters>6722</Characters>
  <Application>Microsoft Word 12.0.0</Application>
  <DocSecurity>0</DocSecurity>
  <Lines>56</Lines>
  <Paragraphs>13</Paragraphs>
  <ScaleCrop>false</ScaleCrop>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47</cp:revision>
  <dcterms:created xsi:type="dcterms:W3CDTF">2016-07-17T04:24:00Z</dcterms:created>
  <dcterms:modified xsi:type="dcterms:W3CDTF">2016-07-24T23:50:00Z</dcterms:modified>
</cp:coreProperties>
</file>