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招标文件，我方已仔细研究</w:t>
      </w:r>
      <w:r>
        <w:rPr>
          <w:rFonts w:ascii="宋体" w:hAnsi="宋体" w:cs="宋体" w:eastAsiaTheme="minorEastAsia"/>
          <w:highlight w:val="none"/>
        </w:rPr>
        <w:t>招标文件及全部参考资料和有关附件</w:t>
      </w:r>
      <w:r>
        <w:rPr>
          <w:rFonts w:ascii="宋体" w:hAnsi="宋体" w:cs="宋体" w:eastAsiaTheme="minorEastAsia"/>
          <w:szCs w:val="24"/>
          <w:highlight w:val="none"/>
        </w:rPr>
        <w:t>，我方已理解招标文件的要求并响应招标文件所有条款且愿意根据招标文件的要求提供投标文件。我方愿意以人民币（大写</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478</Words>
  <Characters>10262</Characters>
  <Lines>0</Lines>
  <Paragraphs>0</Paragraphs>
  <TotalTime>0</TotalTime>
  <ScaleCrop>false</ScaleCrop>
  <LinksUpToDate>false</LinksUpToDate>
  <CharactersWithSpaces>10954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0f2119c8-0e7e-4789-a1c0-531cf2eab55a</vt:lpwstr>
  </property>
</Properties>
</file>