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r>
              <w:t>证明资料</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r>
              <w:t>一、主要功能
1、检测内容：
（1）小包标志性图案、文字印刷错版、污损、商标纸错牌等；
（2）上、下侧面开胶翘（翻）边、翻盖变形或其它散包形式；
（3）无外包装纸或外包装纸反；
（4）烟包倒置；
（5）卡纸、铝箔纸外漏；
（6）小包表面黏附异物；
（7）翻盖缝隙的变形、外露；
（8）最小缺陷（包括但不限于：脏污、异物、破损、折角、图案缺失等）检出面积≤2mm×2mm。</w:t>
            </w:r>
          </w:p>
        </w:tc>
        <w:tc>
          <w:tcPr>
            <w:tcW w:w="3187" w:type="dxa"/>
            <w:tcBorders>
              <w:top w:val="single" w:color="auto" w:sz="4" w:space="0"/>
              <w:left w:val="single" w:color="auto" w:sz="4" w:space="0"/>
              <w:bottom w:val="single" w:color="auto" w:sz="4" w:space="0"/>
              <w:right w:val="single" w:color="auto" w:sz="4" w:space="0"/>
            </w:tcBorders>
            <w:vAlign w:val="center"/>
          </w:tcPr>
          <w:p>
            <w:r>
              <w:t>完全满足招标文件要求，能检测所有规定缺陷类型，最小检出面积≤2mm×2mm</w:t>
            </w:r>
          </w:p>
        </w:tc>
        <w:tc>
          <w:tcPr>
            <w:tcW w:w="663" w:type="dxa"/>
            <w:tcBorders>
              <w:top w:val="single" w:color="auto" w:sz="4" w:space="0"/>
              <w:left w:val="single" w:color="auto" w:sz="4" w:space="0"/>
              <w:bottom w:val="single" w:color="auto" w:sz="4" w:space="0"/>
              <w:right w:val="single" w:color="auto" w:sz="4" w:space="0"/>
            </w:tcBorders>
            <w:vAlign w:val="center"/>
          </w:tcPr>
          <w:p>
            <w:r>
              <w:t>无偏离</w:t>
            </w:r>
          </w:p>
        </w:tc>
        <w:tc>
          <w:tcPr>
            <w:tcW w:w="675" w:type="dxa"/>
            <w:tcBorders>
              <w:top w:val="single" w:color="auto" w:sz="4" w:space="0"/>
              <w:left w:val="single" w:color="auto" w:sz="4" w:space="0"/>
              <w:bottom w:val="single" w:color="auto" w:sz="4" w:space="0"/>
              <w:right w:val="single" w:color="auto" w:sz="4" w:space="0"/>
            </w:tcBorders>
            <w:vAlign w:val="center"/>
          </w:tcPr>
          <w:p>
            <w:r>
              <w:t>完全响应</w:t>
            </w:r>
          </w:p>
        </w:tc>
        <w:tc>
          <w:tcPr>
            <w:tcW w:w="650" w:type="dxa"/>
            <w:tcBorders>
              <w:top w:val="single" w:color="auto" w:sz="4" w:space="0"/>
              <w:left w:val="single" w:color="auto" w:sz="4" w:space="0"/>
              <w:bottom w:val="single" w:color="auto" w:sz="4" w:space="0"/>
              <w:right w:val="single" w:color="auto" w:sz="4" w:space="0"/>
            </w:tcBorders>
            <w:vAlign w:val="center"/>
          </w:tcPr>
          <w:p>
            <w:r>
              <w:t>详见技术支持资料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r>
              <w:t>2、检出率：严重缺陷99.99%剔除，一般缺陷检出率≥99.5%。
3、检测速度：≥600包/分钟，并具备连续检测剔除10包坏烟的能力。
4、误剔率：≤0.15%。
5、安装位置及检测面：检测烟包六个面，安装于ZB45/ZB25/GDX6包装机烟包跑道上，配备可对设备异常状态进行报警提示的声光报警装置，安装后不得影响包装机的操作及维修。</w:t>
            </w:r>
          </w:p>
        </w:tc>
        <w:tc>
          <w:tcPr>
            <w:tcW w:w="3187" w:type="dxa"/>
            <w:tcBorders>
              <w:top w:val="single" w:color="auto" w:sz="4" w:space="0"/>
              <w:left w:val="single" w:color="auto" w:sz="4" w:space="0"/>
              <w:bottom w:val="single" w:color="auto" w:sz="4" w:space="0"/>
              <w:right w:val="single" w:color="auto" w:sz="4" w:space="0"/>
            </w:tcBorders>
            <w:vAlign w:val="center"/>
          </w:tcPr>
          <w:p>
            <w:r>
              <w:t>完全满足：严重缺陷99.99%剔除，一般缺陷检出率≥99.5%；检测速度≥600包/分钟；误剔率≤0.15%；配备声光报警装置</w:t>
            </w:r>
          </w:p>
        </w:tc>
        <w:tc>
          <w:tcPr>
            <w:tcW w:w="663" w:type="dxa"/>
            <w:tcBorders>
              <w:top w:val="single" w:color="auto" w:sz="4" w:space="0"/>
              <w:left w:val="single" w:color="auto" w:sz="4" w:space="0"/>
              <w:bottom w:val="single" w:color="auto" w:sz="4" w:space="0"/>
              <w:right w:val="single" w:color="auto" w:sz="4" w:space="0"/>
            </w:tcBorders>
            <w:vAlign w:val="center"/>
          </w:tcPr>
          <w:p>
            <w:r>
              <w:t>无偏离</w:t>
            </w:r>
          </w:p>
        </w:tc>
        <w:tc>
          <w:tcPr>
            <w:tcW w:w="675" w:type="dxa"/>
            <w:tcBorders>
              <w:top w:val="single" w:color="auto" w:sz="4" w:space="0"/>
              <w:left w:val="single" w:color="auto" w:sz="4" w:space="0"/>
              <w:bottom w:val="single" w:color="auto" w:sz="4" w:space="0"/>
              <w:right w:val="single" w:color="auto" w:sz="4" w:space="0"/>
            </w:tcBorders>
            <w:vAlign w:val="center"/>
          </w:tcPr>
          <w:p>
            <w:r>
              <w:t>完全响应招标文件要求</w:t>
            </w:r>
          </w:p>
        </w:tc>
        <w:tc>
          <w:tcPr>
            <w:tcW w:w="650" w:type="dxa"/>
            <w:tcBorders>
              <w:top w:val="single" w:color="auto" w:sz="4" w:space="0"/>
              <w:left w:val="single" w:color="auto" w:sz="4" w:space="0"/>
              <w:bottom w:val="single" w:color="auto" w:sz="4" w:space="0"/>
              <w:right w:val="single" w:color="auto" w:sz="4" w:space="0"/>
            </w:tcBorders>
            <w:vAlign w:val="center"/>
          </w:tcPr>
          <w:p>
            <w:r>
              <w:t>详见技术支持资料</w:t>
            </w: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r>
              <w:t>二、硬件要求
★（1）相机：采用高分辨率工业相机，高速工业数字彩色相机，具备性能稳定，抗干扰能力强。成像清晰、无光斑及波纹。相机帧率要求大于50fps。
（2）光源：采用24V直流冷光多组LED高亮度光源系统。高稳定、光衰小（2万小时小于15%）、高亮（≥90流明/瓦）。
（3）显示屏：采用触摸式液晶显示屏，屏幕尺寸为≥15寸。
★（4）控制计算机：处理器要求：不能低于第9代Intel CORE I7、处理器主频要求2.5GHz、内存16G、硬盘采用双硬盘结构，128G+1T配置。计算机内部具有专用英伟达GPU卡槽，同时计算机内部配置GPU 3060显卡。
（5）镜头：采用进口的紧凑型镜头，能够捕捉住照相机的全部分辨率，低变形率（低于1.0%），同时在整个屏幕范围内都具有高对比度及清晰图像。
★（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
★（7）成像视角：配备不少于4个相机，实现小包外观6面检测，达到效果清晰、直观。</w:t>
            </w:r>
          </w:p>
        </w:tc>
        <w:tc>
          <w:tcPr>
            <w:tcW w:w="3187" w:type="dxa"/>
            <w:tcBorders>
              <w:top w:val="single" w:color="auto" w:sz="4" w:space="0"/>
              <w:left w:val="single" w:color="auto" w:sz="4" w:space="0"/>
              <w:bottom w:val="single" w:color="auto" w:sz="4" w:space="0"/>
              <w:right w:val="single" w:color="auto" w:sz="4" w:space="0"/>
            </w:tcBorders>
            <w:vAlign w:val="center"/>
          </w:tcPr>
          <w:p>
            <w:r>
              <w:t>完全满足：采用高分辨率工业相机，帧率&gt;50fps；24V直流冷光LED光源；≥15寸触摸屏；第9代Intel CORE I7处理器，16G内存，128G+1T双硬盘，GPU 3060显卡；进口紧凑型镜头；IO控制板带LED指示灯；配备4个相机实现6面检测</w:t>
            </w:r>
          </w:p>
        </w:tc>
        <w:tc>
          <w:tcPr>
            <w:tcW w:w="663" w:type="dxa"/>
            <w:tcBorders>
              <w:top w:val="single" w:color="auto" w:sz="4" w:space="0"/>
              <w:left w:val="single" w:color="auto" w:sz="4" w:space="0"/>
              <w:bottom w:val="single" w:color="auto" w:sz="4" w:space="0"/>
              <w:right w:val="single" w:color="auto" w:sz="4" w:space="0"/>
            </w:tcBorders>
            <w:vAlign w:val="center"/>
          </w:tcPr>
          <w:p>
            <w:r>
              <w:t>无偏离</w:t>
            </w:r>
          </w:p>
        </w:tc>
        <w:tc>
          <w:tcPr>
            <w:tcW w:w="675" w:type="dxa"/>
            <w:tcBorders>
              <w:top w:val="single" w:color="auto" w:sz="4" w:space="0"/>
              <w:left w:val="single" w:color="auto" w:sz="4" w:space="0"/>
              <w:bottom w:val="single" w:color="auto" w:sz="4" w:space="0"/>
              <w:right w:val="single" w:color="auto" w:sz="4" w:space="0"/>
            </w:tcBorders>
            <w:vAlign w:val="center"/>
          </w:tcPr>
          <w:p>
            <w:r>
              <w:t>完全响应所有★项要求</w:t>
            </w: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451</Words>
  <Characters>8922</Characters>
  <Lines>0</Lines>
  <Paragraphs>0</Paragraphs>
  <TotalTime>0</TotalTime>
  <ScaleCrop>false</ScaleCrop>
  <LinksUpToDate>false</LinksUpToDate>
  <CharactersWithSpaces>9609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dcc87436-bdcb-4181-9c41-13a3ba21f9d5</vt:lpwstr>
  </property>
</Properties>
</file>