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ИНФОРМАЦИОННАЯ СПРАВКА</w:t>
      </w:r>
    </w:p>
    <w:p>
      <w:pPr>
        <w:spacing w:before="0" w:line="240" w:lineRule="auto"/>
        <w:jc w:val="left"/>
      </w:pPr>
      <w:r>
        <w:t>[Заполнить: Дата]</w:t>
      </w:r>
    </w:p>
    <w:p>
      <w:pPr>
        <w:keepNext/>
        <w:spacing w:before="280" w:line="240" w:lineRule="auto"/>
        <w:jc w:val="left"/>
      </w:pPr>
      <w:r>
        <w:rPr>
          <w:b w:val="0"/>
        </w:rPr>
        <w:t>О расходах за первый квартал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За период с 1 марта 2025 года по 31 марта 2025 года израсходовано 1 250 000 (один миллион двести пятьдесят тысяч) рублей.</w:t>
      </w:r>
    </w:p>
    <w:p>
      <w:pPr>
        <w:ind w:firstLine="709"/>
        <w:jc w:val="both"/>
      </w:pPr>
      <w:r>
        <w:rPr>
          <w:b w:val="0"/>
          <w:i w:val="0"/>
          <w:u w:val="none"/>
        </w:rPr>
        <w:t>Доля от плана составляет 92,5 процента. Заключено 7 договоров, из которых 3 — на сумму свыше 100 000 рублей.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По состоянию на 15 марта 2025 года остаток составляет 250 000 рублей.</w:t>
      </w:r>
    </w:p>
    <w:p>
      <w:pPr>
        <w:spacing w:before="560" w:line="240" w:lineRule="auto"/>
        <w:jc w:val="left"/>
      </w:pPr>
      <w:r>
        <w:t>руководитель отдела развития Козлов К.К.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ИНФОРМАЦИОННАЯ СПРАВКА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