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ИНФОРМАЦИОННАЯ СПРАВКА</w:t>
      </w:r>
    </w:p>
    <w:p>
      <w:pPr>
        <w:spacing w:before="0" w:line="240" w:lineRule="auto"/>
        <w:jc w:val="left"/>
      </w:pPr>
      <w:r>
        <w:t>[Заполнить: Дата]</w:t>
      </w:r>
    </w:p>
    <w:p>
      <w:pPr>
        <w:keepNext/>
        <w:spacing w:before="280" w:line="240" w:lineRule="auto"/>
        <w:jc w:val="left"/>
      </w:pPr>
      <w:r>
        <w:rPr>
          <w:b w:val="0"/>
        </w:rPr>
        <w:t>О выполнении плана мероприятий за первый квартал 2025 года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Отделом развития выполнены следующие задачи: обучение прошли 24 сотрудника, утверждён регламент документооборота, завершён переход на новую систему.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План мероприятий выполнен на 92 процента. Оставшиеся задачи будут завершены до 31.03.2025.</w:t>
      </w:r>
    </w:p>
    <w:p>
      <w:pPr>
        <w:spacing w:before="560" w:line="240" w:lineRule="auto"/>
        <w:jc w:val="left"/>
      </w:pPr>
      <w:r>
        <w:t>руководитель отдела развития Козлов К.К.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ИНФОРМАЦИОННАЯ СПРАВКА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