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color w:val="1F4E79"/>
          <w:sz w:val="24"/>
        </w:rPr>
        <w:br/>
        <w:br/>
        <w:t>CSC6129 Reinforcement Learning</w:t>
      </w:r>
    </w:p>
    <w:p>
      <w:pPr>
        <w:pStyle w:val="Title"/>
        <w:spacing w:before="0" w:after="40" w:line="276" w:lineRule="auto"/>
        <w:jc w:val="center"/>
      </w:pPr>
      <w:r>
        <w:t>Project Proposal</w:t>
      </w:r>
    </w:p>
    <w:p>
      <w:pPr>
        <w:pStyle w:val="Subtitle"/>
        <w:spacing w:before="0" w:after="360" w:line="276" w:lineRule="auto"/>
        <w:jc w:val="center"/>
      </w:pPr>
      <w:r>
        <w:rPr>
          <w:b/>
          <w:color w:val="323232"/>
          <w:sz w:val="30"/>
        </w:rPr>
        <w:t>Cross-Website GUI Grounding with Verifiable Reward Optimization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880"/>
        <w:gridCol w:w="6912"/>
      </w:tblGrid>
      <w:tr>
        <w:trPr/>
        <w:tc>
          <w:tcPr>
            <w:tcW w:type="dxa" w:w="4824"/>
            <w:vAlign w:val="center"/>
            <w:tcMar>
              <w:top w:w="110" w:type="dxa"/>
              <w:start w:w="140" w:type="dxa"/>
              <w:bottom w:w="110" w:type="dxa"/>
              <w:end w:w="140" w:type="dxa"/>
            </w:tcMar>
            <w:shd w:fill="DDEBF7"/>
          </w:tcPr>
          <w:p>
            <w:pPr>
              <w:spacing w:before="0" w:after="40" w:line="276" w:lineRule="auto"/>
            </w:pPr>
            <w:r>
              <w:rPr>
                <w:b/>
              </w:rPr>
              <w:t>Student</w:t>
            </w:r>
          </w:p>
        </w:tc>
        <w:tc>
          <w:tcPr>
            <w:tcW w:type="dxa" w:w="4824"/>
            <w:vAlign w:val="center"/>
            <w:tcMar>
              <w:top w:w="110" w:type="dxa"/>
              <w:start w:w="140" w:type="dxa"/>
              <w:bottom w:w="110" w:type="dxa"/>
              <w:end w:w="140" w:type="dxa"/>
            </w:tcMar>
            <w:shd w:fill="F9FBFD"/>
          </w:tcPr>
          <w:p>
            <w:pPr>
              <w:spacing w:before="0" w:after="40" w:line="276" w:lineRule="auto"/>
            </w:pPr>
            <w:r>
              <w:t>Che Cheng</w:t>
            </w:r>
          </w:p>
        </w:tc>
      </w:tr>
      <w:tr>
        <w:trPr/>
        <w:tc>
          <w:tcPr>
            <w:tcW w:type="dxa" w:w="4824"/>
            <w:vAlign w:val="center"/>
            <w:tcMar>
              <w:top w:w="110" w:type="dxa"/>
              <w:start w:w="140" w:type="dxa"/>
              <w:bottom w:w="110" w:type="dxa"/>
              <w:end w:w="140" w:type="dxa"/>
            </w:tcMar>
            <w:shd w:fill="DDEBF7"/>
          </w:tcPr>
          <w:p>
            <w:pPr>
              <w:spacing w:before="0" w:after="40" w:line="276" w:lineRule="auto"/>
            </w:pPr>
            <w:r>
              <w:rPr>
                <w:b/>
              </w:rPr>
              <w:t>Positioning</w:t>
            </w:r>
          </w:p>
        </w:tc>
        <w:tc>
          <w:tcPr>
            <w:tcW w:type="dxa" w:w="4824"/>
            <w:vAlign w:val="center"/>
            <w:tcMar>
              <w:top w:w="110" w:type="dxa"/>
              <w:start w:w="140" w:type="dxa"/>
              <w:bottom w:w="110" w:type="dxa"/>
              <w:end w:w="140" w:type="dxa"/>
            </w:tcMar>
            <w:shd w:fill="F9FBFD"/>
          </w:tcPr>
          <w:p>
            <w:pPr>
              <w:spacing w:before="0" w:after="40" w:line="276" w:lineRule="auto"/>
            </w:pPr>
            <w:r>
              <w:t>A multimodal LLM engineering project focused on instruction-conditioned screen understanding, element grounding, and reward-based reranking for computer-use agents.</w:t>
            </w:r>
          </w:p>
        </w:tc>
      </w:tr>
    </w:tbl>
    <w:p>
      <w:pPr>
        <w:spacing w:before="240" w:after="120" w:line="276" w:lineRule="auto"/>
      </w:pPr>
      <w:r>
        <w:rPr>
          <w:b/>
        </w:rPr>
        <w:t xml:space="preserve">One-sentence pitch: </w:t>
      </w:r>
      <w:r>
        <w:t>Build a multimodal model that takes a screenshot and a natural-language instruction, locates the correct UI element, predicts the next action, and improves decision quality using verifiable rewards instead of pure supervised learning.</w:t>
      </w:r>
    </w:p>
    <w:tbl>
      <w:tblPr>
        <w:tblW w:type="auto" w:w="0"/>
        <w:jc w:val="center"/>
        <w:tblLayout w:type="fixed"/>
        <w:tblLook w:firstColumn="1" w:firstRow="1" w:lastColumn="0" w:lastRow="0" w:noHBand="0" w:noVBand="1" w:val="04A0"/>
      </w:tblPr>
      <w:tblGrid>
        <w:gridCol w:w="9792"/>
      </w:tblGrid>
      <w:tr>
        <w:tc>
          <w:tcPr>
            <w:tcW w:type="dxa" w:w="9648"/>
            <w:shd w:fill="EEF5FB"/>
            <w:tcMar>
              <w:top w:w="140" w:type="dxa"/>
              <w:start w:w="160" w:type="dxa"/>
              <w:bottom w:w="140" w:type="dxa"/>
              <w:end w:w="160" w:type="dxa"/>
            </w:tcMar>
          </w:tcPr>
          <w:p>
            <w:pPr>
              <w:spacing w:before="0" w:after="120" w:line="276" w:lineRule="auto"/>
            </w:pPr>
            <w:r>
              <w:rPr>
                <w:b/>
                <w:color w:val="1F4E79"/>
              </w:rPr>
              <w:t>Why this topic is a strong resume project</w:t>
            </w:r>
          </w:p>
          <w:p>
            <w:pPr>
              <w:spacing w:before="0" w:after="60" w:line="276" w:lineRule="auto"/>
              <w:ind w:left="259" w:hanging="259"/>
            </w:pPr>
            <w:r>
              <w:t xml:space="preserve">• </w:t>
            </w:r>
            <w:r>
              <w:t>It directly matches current industry interest in computer-use agents, GUI grounding, and browser/screen understanding.</w:t>
            </w:r>
          </w:p>
          <w:p>
            <w:pPr>
              <w:spacing w:before="0" w:after="60" w:line="276" w:lineRule="auto"/>
              <w:ind w:left="259" w:hanging="259"/>
            </w:pPr>
            <w:r>
              <w:t xml:space="preserve">• </w:t>
            </w:r>
            <w:r>
              <w:t>It has a clean RL formulation: screenshot + instruction as context, grounding/action as action, and correctness/IoU as verifiable reward.</w:t>
            </w:r>
          </w:p>
          <w:p>
            <w:pPr>
              <w:spacing w:before="0" w:after="60" w:line="276" w:lineRule="auto"/>
              <w:ind w:left="259" w:hanging="259"/>
            </w:pPr>
            <w:r>
              <w:t xml:space="preserve">• </w:t>
            </w:r>
            <w:r>
              <w:t>It is different from currently selected class topics such as medical multimodal reasoning, video world models, and SQL rewrite optimization.</w:t>
            </w:r>
          </w:p>
        </w:tc>
      </w:tr>
    </w:tbl>
    <w:p>
      <w:r>
        <w:br w:type="page"/>
      </w:r>
    </w:p>
    <w:p>
      <w:pPr>
        <w:pStyle w:val="Heading1"/>
        <w:spacing w:before="160" w:after="120" w:line="276" w:lineRule="auto"/>
      </w:pPr>
      <w:r>
        <w:t>1. Motivation and Project Positioning</w:t>
      </w:r>
    </w:p>
    <w:p>
      <w:pPr>
        <w:spacing w:before="0" w:after="120" w:line="276" w:lineRule="auto"/>
      </w:pPr>
      <w:r>
        <w:rPr>
          <w:b/>
        </w:rPr>
        <w:t xml:space="preserve">Motivation. </w:t>
      </w:r>
      <w:r>
        <w:t>Recent multimodal agents are increasingly expected to interact with real software interfaces rather than only answer image questions. A practical system must map a natural-language instruction such as “click the login button” or “type New York into the departure field” to a specific UI element on a screenshot and choose the correct action type. This capability - often called GUI grounding - is a core perception problem behind web agents and computer-use assistants.</w:t>
      </w:r>
    </w:p>
    <w:p>
      <w:pPr>
        <w:spacing w:before="0" w:after="120" w:line="276" w:lineRule="auto"/>
      </w:pPr>
      <w:r>
        <w:rPr>
          <w:b/>
        </w:rPr>
        <w:t xml:space="preserve">Project fit. </w:t>
      </w:r>
      <w:r>
        <w:t>For CSC6129, this topic is attractive because it can be formulated as a contextual bandit or single-step policy optimization problem: the context is the screenshot and instruction, the action is the selected UI element and operation, and the reward is computed from element correctness, click-point inclusion, and bounding-box overlap. The project therefore remains genuinely tied to reinforcement learning rather than being a generic VLM fine-tuning exercise.</w:t>
      </w:r>
    </w:p>
    <w:p>
      <w:pPr>
        <w:spacing w:before="0" w:after="160" w:line="276" w:lineRule="auto"/>
      </w:pPr>
      <w:r>
        <w:rPr>
          <w:b/>
        </w:rPr>
        <w:t xml:space="preserve">Differentiation from classmates. </w:t>
      </w:r>
      <w:r>
        <w:t>Based on the uploaded “Final-Project (Others)” list, selected topics already include medical multimodal reasoning, video world models, SQL rewrite optimization, agentic medical LLMs, and self-verification with verifiable rewards. A GUI grounding project avoids direct overlap while still leveraging multimodal learning and reward optimization.</w:t>
      </w:r>
    </w:p>
    <w:p>
      <w:pPr>
        <w:pStyle w:val="Heading1"/>
        <w:spacing w:before="160" w:after="120" w:line="276" w:lineRule="auto"/>
      </w:pPr>
      <w:r>
        <w:t>2. Research Question and Objectives</w:t>
      </w:r>
    </w:p>
    <w:p>
      <w:pPr>
        <w:spacing w:before="0" w:after="80" w:line="276" w:lineRule="auto"/>
      </w:pPr>
      <w:r>
        <w:rPr>
          <w:b/>
        </w:rPr>
        <w:t xml:space="preserve">Research Question. </w:t>
      </w:r>
      <w:r>
        <w:t>Given a screen or webpage screenshot and a natural-language instruction, can a multimodal model accurately localize the target UI element and predict the next action, and can verifiable rewards improve cross-website generalization beyond a purely supervised baseline?</w:t>
      </w:r>
    </w:p>
    <w:p>
      <w:pPr>
        <w:spacing w:before="0" w:after="60" w:line="276" w:lineRule="auto"/>
        <w:ind w:left="346" w:hanging="317"/>
      </w:pPr>
      <w:r>
        <w:t xml:space="preserve">1. </w:t>
      </w:r>
      <w:r>
        <w:t>Build a strong supervised baseline for instruction-conditioned GUI grounding and action prediction.</w:t>
      </w:r>
    </w:p>
    <w:p>
      <w:pPr>
        <w:spacing w:before="0" w:after="60" w:line="276" w:lineRule="auto"/>
        <w:ind w:left="346" w:hanging="317"/>
      </w:pPr>
      <w:r>
        <w:t xml:space="preserve">2. </w:t>
      </w:r>
      <w:r>
        <w:t>Design a verifiable reward function that scores candidate actions using correctness, bounding-box overlap, click-point validity, and formatting constraints.</w:t>
      </w:r>
    </w:p>
    <w:p>
      <w:pPr>
        <w:spacing w:before="0" w:after="60" w:line="276" w:lineRule="auto"/>
        <w:ind w:left="346" w:hanging="317"/>
      </w:pPr>
      <w:r>
        <w:t xml:space="preserve">3. </w:t>
      </w:r>
      <w:r>
        <w:t>Compare supervised learning, reward-based reranking, and optional lightweight policy optimization (e.g., GRPO-style group reranking or bandit-style improvement).</w:t>
      </w:r>
    </w:p>
    <w:p>
      <w:pPr>
        <w:spacing w:before="0" w:after="60" w:line="276" w:lineRule="auto"/>
        <w:ind w:left="346" w:hanging="317"/>
      </w:pPr>
      <w:r>
        <w:t xml:space="preserve">4. </w:t>
      </w:r>
      <w:r>
        <w:t>Study cross-task, cross-website, and cross-domain generalization on public benchmarks.</w:t>
      </w:r>
    </w:p>
    <w:p>
      <w:pPr>
        <w:spacing w:before="0" w:after="60" w:line="276" w:lineRule="auto"/>
        <w:ind w:left="346" w:hanging="317"/>
      </w:pPr>
      <w:r>
        <w:t xml:space="preserve">5. </w:t>
      </w:r>
      <w:r>
        <w:t>Deliver a polished report, presentation, and a runnable demo that visualizes predicted click points and boxes.</w:t>
      </w:r>
    </w:p>
    <w:p>
      <w:pPr>
        <w:pStyle w:val="Heading1"/>
        <w:spacing w:before="160" w:after="120" w:line="276" w:lineRule="auto"/>
      </w:pPr>
      <w:r>
        <w:t>3. Problem Formulation</w:t>
      </w:r>
    </w:p>
    <w:p>
      <w:pPr>
        <w:spacing w:before="0" w:after="60" w:line="276" w:lineRule="auto"/>
      </w:pPr>
      <w:r>
        <w:rPr>
          <w:b/>
        </w:rPr>
        <w:t xml:space="preserve">Context. </w:t>
      </w:r>
      <w:r>
        <w:t>For each sample, define x = (I, u, c), where I is the screenshot image, u is the user instruction, and c is an optional set of auxiliary cues such as OCR text, DOM snippets, or candidate element metadata.</w:t>
      </w:r>
    </w:p>
    <w:p>
      <w:pPr>
        <w:spacing w:before="0" w:after="60" w:line="276" w:lineRule="auto"/>
      </w:pPr>
      <w:r>
        <w:rPr>
          <w:b/>
        </w:rPr>
        <w:t xml:space="preserve">Action. </w:t>
      </w:r>
      <w:r>
        <w:t>The model predicts a = (e, b, t), where e is the selected target element, b is a bounding box or click point, and t is the action type (click, type, select, or hover).</w:t>
      </w:r>
    </w:p>
    <w:p>
      <w:pPr>
        <w:spacing w:before="0" w:after="100" w:line="276" w:lineRule="auto"/>
      </w:pPr>
      <w:r>
        <w:rPr>
          <w:b/>
        </w:rPr>
        <w:t xml:space="preserve">Reward. </w:t>
      </w:r>
      <w:r>
        <w:t>A practical reward can be defined as r = λ1 * element_correct + λ2 * IoU(b, b*) + λ3 * click_inside_target + λ4 * action_type_correct - λ5 * invalid_format. This yields a verifiable and relatively low-noise optimization signal.</w:t>
      </w:r>
    </w:p>
    <w:p>
      <w:pPr>
        <w:spacing w:before="0" w:after="160" w:line="276" w:lineRule="auto"/>
      </w:pPr>
      <w:r>
        <w:rPr>
          <w:b/>
        </w:rPr>
        <w:t xml:space="preserve">RL interpretation. </w:t>
      </w:r>
      <w:r>
        <w:t>Although the full web-agent problem is sequential, this project intentionally focuses on the single-step grounding component. That makes the task computationally manageable while still mapping cleanly to contextual bandits and policy improvement under verifiable reward.</w:t>
      </w:r>
    </w:p>
    <w:p>
      <w:r>
        <w:drawing>
          <wp:inline xmlns:a="http://schemas.openxmlformats.org/drawingml/2006/main" xmlns:pic="http://schemas.openxmlformats.org/drawingml/2006/picture">
            <wp:extent cx="6309360" cy="2050542"/>
            <wp:docPr id="1" name="Picture 1"/>
            <wp:cNvGraphicFramePr>
              <a:graphicFrameLocks noChangeAspect="1"/>
            </wp:cNvGraphicFramePr>
            <a:graphic>
              <a:graphicData uri="http://schemas.openxmlformats.org/drawingml/2006/picture">
                <pic:pic>
                  <pic:nvPicPr>
                    <pic:cNvPr id="0" name="gui_grounding_pipeline.png"/>
                    <pic:cNvPicPr/>
                  </pic:nvPicPr>
                  <pic:blipFill>
                    <a:blip r:embed="rId9"/>
                    <a:stretch>
                      <a:fillRect/>
                    </a:stretch>
                  </pic:blipFill>
                  <pic:spPr>
                    <a:xfrm>
                      <a:off x="0" y="0"/>
                      <a:ext cx="6309360" cy="2050542"/>
                    </a:xfrm>
                    <a:prstGeom prst="rect"/>
                  </pic:spPr>
                </pic:pic>
              </a:graphicData>
            </a:graphic>
          </wp:inline>
        </w:drawing>
      </w:r>
    </w:p>
    <w:p>
      <w:pPr>
        <w:spacing w:before="40" w:after="200" w:line="276" w:lineRule="auto"/>
        <w:jc w:val="center"/>
      </w:pPr>
      <w:r>
        <w:rPr>
          <w:i/>
          <w:color w:val="5A5A5A"/>
          <w:sz w:val="19"/>
        </w:rPr>
        <w:t>Figure 1. Proposed training pipeline for supervised grounding, candidate generation, and reward-based improvement.</w:t>
      </w:r>
    </w:p>
    <w:p>
      <w:pPr>
        <w:pStyle w:val="Heading1"/>
        <w:spacing w:before="160" w:after="120" w:line="276" w:lineRule="auto"/>
      </w:pPr>
      <w:r>
        <w:t>4. Datasets and Benchmark Plan</w:t>
      </w:r>
    </w:p>
    <w:p>
      <w:pPr>
        <w:spacing w:before="0" w:after="80" w:line="276" w:lineRule="auto"/>
      </w:pPr>
      <w:r>
        <w:rPr>
          <w:b/>
        </w:rPr>
        <w:t xml:space="preserve">Primary training source. </w:t>
      </w:r>
      <w:r>
        <w:t>Use Multimodal-Mind2Web as the main supervised source because it already aligns webpage screenshots with task instructions and action annotations. Its train split contains 7,775 actions from 1,009 tasks, while its test splits support cross-task, cross-website, and cross-domain evaluation.</w:t>
      </w:r>
    </w:p>
    <w:p>
      <w:pPr>
        <w:spacing w:before="0" w:after="80" w:line="276" w:lineRule="auto"/>
      </w:pPr>
      <w:r>
        <w:rPr>
          <w:b/>
        </w:rPr>
        <w:t xml:space="preserve">Primary evaluation source. </w:t>
      </w:r>
      <w:r>
        <w:t>Use ScreenSpot-v2 as the most compact and reliable GUI grounding benchmark for held-out evaluation. It explicitly tests localization quality on desktop, mobile, and web interfaces and was released to correct known annotation issues in the original ScreenSpot benchmark.</w:t>
      </w:r>
    </w:p>
    <w:p>
      <w:pPr>
        <w:spacing w:before="0" w:after="120" w:line="276" w:lineRule="auto"/>
      </w:pPr>
      <w:r>
        <w:rPr>
          <w:b/>
        </w:rPr>
        <w:t xml:space="preserve">Supplementary analysis. </w:t>
      </w:r>
      <w:r>
        <w:t>Use VisualWebBench to test whether a model that improves at action grounding also benefits on element grounding and action prediction in a broader web-understanding benchmark. ScreenSpot-Pro can optionally be used as a harder high-resolution stress test if compute and time permit.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232"/>
        <w:gridCol w:w="2304"/>
        <w:gridCol w:w="3240"/>
        <w:gridCol w:w="2088"/>
      </w:tblGrid>
      <w:tr>
        <w:trPr>
          <w:tblHeader w:val="true"/>
        </w:trPr>
        <w:tc>
          <w:tcPr>
            <w:tcW w:type="dxa" w:w="2412"/>
            <w:vAlign w:val="center"/>
            <w:tcMar>
              <w:top w:w="120" w:type="dxa"/>
              <w:start w:w="130" w:type="dxa"/>
              <w:bottom w:w="120" w:type="dxa"/>
              <w:end w:w="130" w:type="dxa"/>
            </w:tcMar>
            <w:shd w:fill="DDEBF7"/>
          </w:tcPr>
          <w:p>
            <w:pPr>
              <w:spacing w:before="0" w:after="40" w:line="276" w:lineRule="auto"/>
              <w:jc w:val="center"/>
            </w:pPr>
            <w:r>
              <w:rPr>
                <w:b/>
              </w:rPr>
              <w:t>Dataset</w:t>
            </w:r>
          </w:p>
        </w:tc>
        <w:tc>
          <w:tcPr>
            <w:tcW w:type="dxa" w:w="2412"/>
            <w:vAlign w:val="center"/>
            <w:tcMar>
              <w:top w:w="120" w:type="dxa"/>
              <w:start w:w="130" w:type="dxa"/>
              <w:bottom w:w="120" w:type="dxa"/>
              <w:end w:w="130" w:type="dxa"/>
            </w:tcMar>
            <w:shd w:fill="DDEBF7"/>
          </w:tcPr>
          <w:p>
            <w:pPr>
              <w:spacing w:before="0" w:after="40" w:line="276" w:lineRule="auto"/>
              <w:jc w:val="center"/>
            </w:pPr>
            <w:r>
              <w:rPr>
                <w:b/>
              </w:rPr>
              <w:t>Role</w:t>
            </w:r>
          </w:p>
        </w:tc>
        <w:tc>
          <w:tcPr>
            <w:tcW w:type="dxa" w:w="2412"/>
            <w:vAlign w:val="center"/>
            <w:tcMar>
              <w:top w:w="120" w:type="dxa"/>
              <w:start w:w="130" w:type="dxa"/>
              <w:bottom w:w="120" w:type="dxa"/>
              <w:end w:w="130" w:type="dxa"/>
            </w:tcMar>
            <w:shd w:fill="DDEBF7"/>
          </w:tcPr>
          <w:p>
            <w:pPr>
              <w:spacing w:before="0" w:after="40" w:line="276" w:lineRule="auto"/>
              <w:jc w:val="center"/>
            </w:pPr>
            <w:r>
              <w:rPr>
                <w:b/>
              </w:rPr>
              <w:t>What it provides</w:t>
            </w:r>
          </w:p>
        </w:tc>
        <w:tc>
          <w:tcPr>
            <w:tcW w:type="dxa" w:w="2412"/>
            <w:vAlign w:val="center"/>
            <w:tcMar>
              <w:top w:w="120" w:type="dxa"/>
              <w:start w:w="130" w:type="dxa"/>
              <w:bottom w:w="120" w:type="dxa"/>
              <w:end w:w="130" w:type="dxa"/>
            </w:tcMar>
            <w:shd w:fill="DDEBF7"/>
          </w:tcPr>
          <w:p>
            <w:pPr>
              <w:spacing w:before="0" w:after="40" w:line="276" w:lineRule="auto"/>
              <w:jc w:val="center"/>
            </w:pPr>
            <w:r>
              <w:rPr>
                <w:b/>
              </w:rPr>
              <w:t>Planned use</w:t>
            </w:r>
          </w:p>
        </w:tc>
      </w:tr>
      <w:tr>
        <w:trPr>
          <w:cantSplit/>
        </w:trPr>
        <w:tc>
          <w:tcPr>
            <w:tcW w:type="dxa" w:w="2232"/>
            <w:vAlign w:val="center"/>
            <w:tcMar>
              <w:top w:w="120" w:type="dxa"/>
              <w:start w:w="130" w:type="dxa"/>
              <w:bottom w:w="120" w:type="dxa"/>
              <w:end w:w="130" w:type="dxa"/>
            </w:tcMar>
            <w:shd w:fill="F9FBFD"/>
          </w:tcPr>
          <w:p>
            <w:pPr>
              <w:spacing w:before="0" w:after="40" w:line="276" w:lineRule="auto"/>
              <w:jc w:val="center"/>
            </w:pPr>
            <w:r>
              <w:t>Multimodal-Mind2Web</w:t>
            </w:r>
          </w:p>
        </w:tc>
        <w:tc>
          <w:tcPr>
            <w:tcW w:type="dxa" w:w="2304"/>
            <w:vAlign w:val="center"/>
            <w:tcMar>
              <w:top w:w="120" w:type="dxa"/>
              <w:start w:w="130" w:type="dxa"/>
              <w:bottom w:w="120" w:type="dxa"/>
              <w:end w:w="130" w:type="dxa"/>
            </w:tcMar>
            <w:shd w:fill="F9FBFD"/>
          </w:tcPr>
          <w:p>
            <w:pPr>
              <w:spacing w:before="0" w:after="40" w:line="276" w:lineRule="auto"/>
              <w:jc w:val="center"/>
            </w:pPr>
            <w:r>
              <w:t>Train + eval</w:t>
            </w:r>
          </w:p>
        </w:tc>
        <w:tc>
          <w:tcPr>
            <w:tcW w:type="dxa" w:w="3240"/>
            <w:vAlign w:val="center"/>
            <w:tcMar>
              <w:top w:w="120" w:type="dxa"/>
              <w:start w:w="130" w:type="dxa"/>
              <w:bottom w:w="120" w:type="dxa"/>
              <w:end w:w="130" w:type="dxa"/>
            </w:tcMar>
            <w:shd w:fill="F9FBFD"/>
          </w:tcPr>
          <w:p>
            <w:pPr>
              <w:spacing w:before="0" w:after="40" w:line="276" w:lineRule="auto"/>
              <w:jc w:val="left"/>
            </w:pPr>
            <w:r>
              <w:t>Screenshot, HTML text, task instruction, action representation, task/website/domain splits</w:t>
            </w:r>
          </w:p>
        </w:tc>
        <w:tc>
          <w:tcPr>
            <w:tcW w:type="dxa" w:w="2088"/>
            <w:vAlign w:val="center"/>
            <w:tcMar>
              <w:top w:w="120" w:type="dxa"/>
              <w:start w:w="130" w:type="dxa"/>
              <w:bottom w:w="120" w:type="dxa"/>
              <w:end w:w="130" w:type="dxa"/>
            </w:tcMar>
            <w:shd w:fill="F9FBFD"/>
          </w:tcPr>
          <w:p>
            <w:pPr>
              <w:spacing w:before="0" w:after="40" w:line="276" w:lineRule="auto"/>
              <w:jc w:val="center"/>
            </w:pPr>
            <w:r>
              <w:t>Main training data and generalization benchmark</w:t>
            </w:r>
          </w:p>
        </w:tc>
      </w:tr>
      <w:tr>
        <w:trPr>
          <w:cantSplit/>
        </w:trPr>
        <w:tc>
          <w:tcPr>
            <w:tcW w:type="dxa" w:w="2232"/>
            <w:vAlign w:val="center"/>
            <w:tcMar>
              <w:top w:w="120" w:type="dxa"/>
              <w:start w:w="130" w:type="dxa"/>
              <w:bottom w:w="120" w:type="dxa"/>
              <w:end w:w="130" w:type="dxa"/>
            </w:tcMar>
            <w:shd w:fill="FFFFFF"/>
          </w:tcPr>
          <w:p>
            <w:pPr>
              <w:spacing w:before="0" w:after="40" w:line="276" w:lineRule="auto"/>
              <w:jc w:val="center"/>
            </w:pPr>
            <w:r>
              <w:t>ScreenSpot-v2</w:t>
            </w:r>
          </w:p>
        </w:tc>
        <w:tc>
          <w:tcPr>
            <w:tcW w:type="dxa" w:w="2304"/>
            <w:vAlign w:val="center"/>
            <w:tcMar>
              <w:top w:w="120" w:type="dxa"/>
              <w:start w:w="130" w:type="dxa"/>
              <w:bottom w:w="120" w:type="dxa"/>
              <w:end w:w="130" w:type="dxa"/>
            </w:tcMar>
            <w:shd w:fill="FFFFFF"/>
          </w:tcPr>
          <w:p>
            <w:pPr>
              <w:spacing w:before="0" w:after="40" w:line="276" w:lineRule="auto"/>
              <w:jc w:val="center"/>
            </w:pPr>
            <w:r>
              <w:t>Eval</w:t>
            </w:r>
          </w:p>
        </w:tc>
        <w:tc>
          <w:tcPr>
            <w:tcW w:type="dxa" w:w="3240"/>
            <w:vAlign w:val="center"/>
            <w:tcMar>
              <w:top w:w="120" w:type="dxa"/>
              <w:start w:w="130" w:type="dxa"/>
              <w:bottom w:w="120" w:type="dxa"/>
              <w:end w:w="130" w:type="dxa"/>
            </w:tcMar>
            <w:shd w:fill="FFFFFF"/>
          </w:tcPr>
          <w:p>
            <w:pPr>
              <w:spacing w:before="0" w:after="40" w:line="276" w:lineRule="auto"/>
              <w:jc w:val="left"/>
            </w:pPr>
            <w:r>
              <w:t>Instruction-grounding pairs with target boxes across desktop, mobile, and web</w:t>
            </w:r>
          </w:p>
        </w:tc>
        <w:tc>
          <w:tcPr>
            <w:tcW w:type="dxa" w:w="2088"/>
            <w:vAlign w:val="center"/>
            <w:tcMar>
              <w:top w:w="120" w:type="dxa"/>
              <w:start w:w="130" w:type="dxa"/>
              <w:bottom w:w="120" w:type="dxa"/>
              <w:end w:w="130" w:type="dxa"/>
            </w:tcMar>
            <w:shd w:fill="FFFFFF"/>
          </w:tcPr>
          <w:p>
            <w:pPr>
              <w:spacing w:before="0" w:after="40" w:line="276" w:lineRule="auto"/>
              <w:jc w:val="center"/>
            </w:pPr>
            <w:r>
              <w:t>Primary clean GUI grounding test set</w:t>
            </w:r>
          </w:p>
        </w:tc>
      </w:tr>
      <w:tr>
        <w:trPr>
          <w:cantSplit/>
        </w:trPr>
        <w:tc>
          <w:tcPr>
            <w:tcW w:type="dxa" w:w="2232"/>
            <w:vAlign w:val="center"/>
            <w:tcMar>
              <w:top w:w="120" w:type="dxa"/>
              <w:start w:w="130" w:type="dxa"/>
              <w:bottom w:w="120" w:type="dxa"/>
              <w:end w:w="130" w:type="dxa"/>
            </w:tcMar>
            <w:shd w:fill="F9FBFD"/>
          </w:tcPr>
          <w:p>
            <w:pPr>
              <w:spacing w:before="0" w:after="40" w:line="276" w:lineRule="auto"/>
              <w:jc w:val="center"/>
            </w:pPr>
            <w:r>
              <w:t>VisualWebBench</w:t>
            </w:r>
          </w:p>
        </w:tc>
        <w:tc>
          <w:tcPr>
            <w:tcW w:type="dxa" w:w="2304"/>
            <w:vAlign w:val="center"/>
            <w:tcMar>
              <w:top w:w="120" w:type="dxa"/>
              <w:start w:w="130" w:type="dxa"/>
              <w:bottom w:w="120" w:type="dxa"/>
              <w:end w:w="130" w:type="dxa"/>
            </w:tcMar>
            <w:shd w:fill="F9FBFD"/>
          </w:tcPr>
          <w:p>
            <w:pPr>
              <w:spacing w:before="0" w:after="40" w:line="276" w:lineRule="auto"/>
              <w:jc w:val="center"/>
            </w:pPr>
            <w:r>
              <w:t>Supplementary eval</w:t>
            </w:r>
          </w:p>
        </w:tc>
        <w:tc>
          <w:tcPr>
            <w:tcW w:type="dxa" w:w="3240"/>
            <w:vAlign w:val="center"/>
            <w:tcMar>
              <w:top w:w="120" w:type="dxa"/>
              <w:start w:w="130" w:type="dxa"/>
              <w:bottom w:w="120" w:type="dxa"/>
              <w:end w:w="130" w:type="dxa"/>
            </w:tcMar>
            <w:shd w:fill="F9FBFD"/>
          </w:tcPr>
          <w:p>
            <w:pPr>
              <w:spacing w:before="0" w:after="40" w:line="276" w:lineRule="auto"/>
              <w:jc w:val="left"/>
            </w:pPr>
            <w:r>
              <w:t>Action prediction, action grounding, element OCR, webpage understanding</w:t>
            </w:r>
          </w:p>
        </w:tc>
        <w:tc>
          <w:tcPr>
            <w:tcW w:type="dxa" w:w="2088"/>
            <w:vAlign w:val="center"/>
            <w:tcMar>
              <w:top w:w="120" w:type="dxa"/>
              <w:start w:w="130" w:type="dxa"/>
              <w:bottom w:w="120" w:type="dxa"/>
              <w:end w:w="130" w:type="dxa"/>
            </w:tcMar>
            <w:shd w:fill="F9FBFD"/>
          </w:tcPr>
          <w:p>
            <w:pPr>
              <w:spacing w:before="0" w:after="40" w:line="276" w:lineRule="auto"/>
              <w:jc w:val="center"/>
            </w:pPr>
            <w:r>
              <w:t>Broader transfer analysis</w:t>
            </w:r>
          </w:p>
        </w:tc>
      </w:tr>
      <w:tr>
        <w:trPr>
          <w:cantSplit/>
        </w:trPr>
        <w:tc>
          <w:tcPr>
            <w:tcW w:type="dxa" w:w="2232"/>
            <w:vAlign w:val="center"/>
            <w:tcMar>
              <w:top w:w="120" w:type="dxa"/>
              <w:start w:w="130" w:type="dxa"/>
              <w:bottom w:w="120" w:type="dxa"/>
              <w:end w:w="130" w:type="dxa"/>
            </w:tcMar>
            <w:shd w:fill="FFFFFF"/>
          </w:tcPr>
          <w:p>
            <w:pPr>
              <w:spacing w:before="0" w:after="40" w:line="276" w:lineRule="auto"/>
              <w:jc w:val="center"/>
            </w:pPr>
            <w:r>
              <w:t>ScreenSpot-Pro</w:t>
            </w:r>
          </w:p>
        </w:tc>
        <w:tc>
          <w:tcPr>
            <w:tcW w:type="dxa" w:w="2304"/>
            <w:vAlign w:val="center"/>
            <w:tcMar>
              <w:top w:w="120" w:type="dxa"/>
              <w:start w:w="130" w:type="dxa"/>
              <w:bottom w:w="120" w:type="dxa"/>
              <w:end w:w="130" w:type="dxa"/>
            </w:tcMar>
            <w:shd w:fill="FFFFFF"/>
          </w:tcPr>
          <w:p>
            <w:pPr>
              <w:spacing w:before="0" w:after="40" w:line="276" w:lineRule="auto"/>
              <w:jc w:val="center"/>
            </w:pPr>
            <w:r>
              <w:t>Optional hard eval</w:t>
            </w:r>
          </w:p>
        </w:tc>
        <w:tc>
          <w:tcPr>
            <w:tcW w:type="dxa" w:w="3240"/>
            <w:vAlign w:val="center"/>
            <w:tcMar>
              <w:top w:w="120" w:type="dxa"/>
              <w:start w:w="130" w:type="dxa"/>
              <w:bottom w:w="120" w:type="dxa"/>
              <w:end w:w="130" w:type="dxa"/>
            </w:tcMar>
            <w:shd w:fill="FFFFFF"/>
          </w:tcPr>
          <w:p>
            <w:pPr>
              <w:spacing w:before="0" w:after="40" w:line="276" w:lineRule="auto"/>
              <w:jc w:val="left"/>
            </w:pPr>
            <w:r>
              <w:t>Professional high-resolution GUI grounding benchmark</w:t>
            </w:r>
          </w:p>
        </w:tc>
        <w:tc>
          <w:tcPr>
            <w:tcW w:type="dxa" w:w="2088"/>
            <w:vAlign w:val="center"/>
            <w:tcMar>
              <w:top w:w="120" w:type="dxa"/>
              <w:start w:w="130" w:type="dxa"/>
              <w:bottom w:w="120" w:type="dxa"/>
              <w:end w:w="130" w:type="dxa"/>
            </w:tcMar>
            <w:shd w:fill="FFFFFF"/>
          </w:tcPr>
          <w:p>
            <w:pPr>
              <w:spacing w:before="0" w:after="40" w:line="276" w:lineRule="auto"/>
              <w:jc w:val="center"/>
            </w:pPr>
            <w:r>
              <w:t>Stress test on dense interfaces</w:t>
            </w:r>
          </w:p>
        </w:tc>
      </w:tr>
    </w:tbl>
    <w:p>
      <w:pPr>
        <w:pStyle w:val="Heading1"/>
        <w:spacing w:before="160" w:after="120" w:line="276" w:lineRule="auto"/>
      </w:pPr>
      <w:r>
        <w:t>5. Proposed Method</w:t>
      </w:r>
    </w:p>
    <w:p>
      <w:pPr>
        <w:pStyle w:val="Heading2"/>
        <w:spacing w:before="80" w:after="120" w:line="276" w:lineRule="auto"/>
      </w:pPr>
      <w:r>
        <w:t>5.1 Base model and representation</w:t>
      </w:r>
    </w:p>
    <w:p>
      <w:pPr>
        <w:spacing w:before="0" w:after="80" w:line="276" w:lineRule="auto"/>
      </w:pPr>
      <w:r>
        <w:rPr>
          <w:b/>
        </w:rPr>
        <w:t xml:space="preserve">Backbone. </w:t>
      </w:r>
      <w:r>
        <w:t>Start from a compact but capable vision-language model such as Qwen2-VL 2B/7B or a similar open-source VLM. The model receives the screenshot and instruction, and produces either (i) a click point / bounding box directly, or (ii) scores over a candidate set of elements.</w:t>
      </w:r>
    </w:p>
    <w:p>
      <w:pPr>
        <w:spacing w:before="0" w:after="120" w:line="276" w:lineRule="auto"/>
      </w:pPr>
      <w:r>
        <w:rPr>
          <w:b/>
        </w:rPr>
        <w:t xml:space="preserve">Representation choice. </w:t>
      </w:r>
      <w:r>
        <w:t>Two implementation options will be explored: a pure visual model that predicts grounding directly from screenshot pixels, and a hybrid model that augments the screenshot with OCR text or DOM-derived candidates when available. This ablation is important because real systems often combine visual and structural cues.</w:t>
      </w:r>
    </w:p>
    <w:p>
      <w:pPr>
        <w:pStyle w:val="Heading2"/>
        <w:spacing w:before="80" w:after="120" w:line="276" w:lineRule="auto"/>
      </w:pPr>
      <w:r>
        <w:t>5.2 Stage A - supervised grounding baseline</w:t>
      </w:r>
    </w:p>
    <w:p>
      <w:pPr>
        <w:spacing w:before="0" w:after="60" w:line="276" w:lineRule="auto"/>
        <w:ind w:left="288" w:hanging="259"/>
      </w:pPr>
      <w:r>
        <w:t xml:space="preserve">• </w:t>
      </w:r>
      <w:r>
        <w:t>Train on screenshot-instruction pairs to predict the target element and action type.</w:t>
      </w:r>
    </w:p>
    <w:p>
      <w:pPr>
        <w:spacing w:before="0" w:after="60" w:line="276" w:lineRule="auto"/>
        <w:ind w:left="288" w:hanging="259"/>
      </w:pPr>
      <w:r>
        <w:t xml:space="preserve">• </w:t>
      </w:r>
      <w:r>
        <w:t>Use classification over candidate elements, or regression to click point / box, depending on the benchmark format.</w:t>
      </w:r>
    </w:p>
    <w:p>
      <w:pPr>
        <w:spacing w:before="0" w:after="60" w:line="276" w:lineRule="auto"/>
        <w:ind w:left="288" w:hanging="259"/>
      </w:pPr>
      <w:r>
        <w:t xml:space="preserve">• </w:t>
      </w:r>
      <w:r>
        <w:t>Establish the strongest possible supervised baseline first before introducing RL-style improvements.</w:t>
      </w:r>
    </w:p>
    <w:p>
      <w:pPr>
        <w:pStyle w:val="Heading2"/>
        <w:spacing w:before="80" w:after="120" w:line="276" w:lineRule="auto"/>
      </w:pPr>
      <w:r>
        <w:t>5.3 Stage B - candidate generation and reranking</w:t>
      </w:r>
    </w:p>
    <w:p>
      <w:pPr>
        <w:spacing w:before="0" w:after="60" w:line="276" w:lineRule="auto"/>
        <w:ind w:left="288" w:hanging="259"/>
      </w:pPr>
      <w:r>
        <w:t xml:space="preserve">• </w:t>
      </w:r>
      <w:r>
        <w:t>Generate multiple candidate actions per input: different boxes, click points, or element IDs.</w:t>
      </w:r>
    </w:p>
    <w:p>
      <w:pPr>
        <w:spacing w:before="0" w:after="60" w:line="276" w:lineRule="auto"/>
        <w:ind w:left="288" w:hanging="259"/>
      </w:pPr>
      <w:r>
        <w:t xml:space="preserve">• </w:t>
      </w:r>
      <w:r>
        <w:t>Score each candidate with a deterministic reward using the ground-truth target element and box.</w:t>
      </w:r>
    </w:p>
    <w:p>
      <w:pPr>
        <w:spacing w:before="0" w:after="60" w:line="276" w:lineRule="auto"/>
        <w:ind w:left="288" w:hanging="259"/>
      </w:pPr>
      <w:r>
        <w:t xml:space="preserve">• </w:t>
      </w:r>
      <w:r>
        <w:t>Convert this into pairwise preferences or top-k reranking data for reward-aware improvement.</w:t>
      </w:r>
    </w:p>
    <w:p>
      <w:pPr>
        <w:pStyle w:val="Heading2"/>
        <w:spacing w:before="80" w:after="120" w:line="276" w:lineRule="auto"/>
      </w:pPr>
      <w:r>
        <w:t>5.4 Stage C - verifiable reward optimization</w:t>
      </w:r>
    </w:p>
    <w:p>
      <w:pPr>
        <w:spacing w:before="0" w:after="60" w:line="276" w:lineRule="auto"/>
        <w:ind w:left="288" w:hanging="259"/>
      </w:pPr>
      <w:r>
        <w:t xml:space="preserve">• </w:t>
      </w:r>
      <w:r>
        <w:t>A practical first option is reward-based reranking: choose the best candidate according to a learned scorer trained from verifiable rewards.</w:t>
      </w:r>
    </w:p>
    <w:p>
      <w:pPr>
        <w:spacing w:before="0" w:after="60" w:line="276" w:lineRule="auto"/>
        <w:ind w:left="288" w:hanging="259"/>
      </w:pPr>
      <w:r>
        <w:t xml:space="preserve">• </w:t>
      </w:r>
      <w:r>
        <w:t>A second option is pairwise preference optimization (DPO-style) where preferred candidates beat less accurate ones.</w:t>
      </w:r>
    </w:p>
    <w:p>
      <w:pPr>
        <w:spacing w:before="0" w:after="60" w:line="276" w:lineRule="auto"/>
        <w:ind w:left="288" w:hanging="259"/>
      </w:pPr>
      <w:r>
        <w:t xml:space="preserve">• </w:t>
      </w:r>
      <w:r>
        <w:t>If time permits, implement lightweight GRPO-style group optimization or bandit-style policy improvement on top-k candidates instead of full RL over long trajectories.</w:t>
      </w:r>
    </w:p>
    <w:p>
      <w:pPr>
        <w:spacing w:before="0" w:after="160" w:line="276" w:lineRule="auto"/>
      </w:pPr>
      <w:r>
        <w:rPr>
          <w:b/>
        </w:rPr>
        <w:t xml:space="preserve">Expected benefit. </w:t>
      </w:r>
      <w:r>
        <w:t>Reward optimization should primarily improve calibration, candidate selection quality, and cross-website robustness rather than drastically changing within-domain supervised accuracy. This is the behavior to test explicitly.</w:t>
      </w:r>
    </w:p>
    <w:p>
      <w:pPr>
        <w:pStyle w:val="Heading1"/>
        <w:spacing w:before="160" w:after="120" w:line="276" w:lineRule="auto"/>
      </w:pPr>
      <w:r>
        <w:t>6. Experimental Design</w:t>
      </w:r>
    </w:p>
    <w:p>
      <w:pPr>
        <w:pStyle w:val="Heading2"/>
        <w:spacing w:before="80" w:after="120" w:line="276" w:lineRule="auto"/>
      </w:pPr>
      <w:r>
        <w:t>6.1 Baselines</w:t>
      </w:r>
    </w:p>
    <w:p>
      <w:pPr>
        <w:spacing w:before="0" w:after="60" w:line="276" w:lineRule="auto"/>
        <w:ind w:left="288" w:hanging="259"/>
      </w:pPr>
      <w:r>
        <w:t xml:space="preserve">• </w:t>
      </w:r>
      <w:r>
        <w:t>Zero-shot or prompt-only baseline with an open-source VLM.</w:t>
      </w:r>
    </w:p>
    <w:p>
      <w:pPr>
        <w:spacing w:before="0" w:after="60" w:line="276" w:lineRule="auto"/>
        <w:ind w:left="288" w:hanging="259"/>
      </w:pPr>
      <w:r>
        <w:t xml:space="preserve">• </w:t>
      </w:r>
      <w:r>
        <w:t>Supervised fine-tuning only (SFT).</w:t>
      </w:r>
    </w:p>
    <w:p>
      <w:pPr>
        <w:spacing w:before="0" w:after="60" w:line="276" w:lineRule="auto"/>
        <w:ind w:left="288" w:hanging="259"/>
      </w:pPr>
      <w:r>
        <w:t xml:space="preserve">• </w:t>
      </w:r>
      <w:r>
        <w:t>SFT + reward reranking.</w:t>
      </w:r>
    </w:p>
    <w:p>
      <w:pPr>
        <w:spacing w:before="0" w:after="60" w:line="276" w:lineRule="auto"/>
        <w:ind w:left="288" w:hanging="259"/>
      </w:pPr>
      <w:r>
        <w:t xml:space="preserve">• </w:t>
      </w:r>
      <w:r>
        <w:t>SFT + pairwise preference optimization.</w:t>
      </w:r>
    </w:p>
    <w:p>
      <w:pPr>
        <w:spacing w:before="0" w:after="60" w:line="276" w:lineRule="auto"/>
        <w:ind w:left="288" w:hanging="259"/>
      </w:pPr>
      <w:r>
        <w:t xml:space="preserve">• </w:t>
      </w:r>
      <w:r>
        <w:t>Optional: SFT + lightweight GRPO / contextual-bandit improvement.</w:t>
      </w:r>
    </w:p>
    <w:p>
      <w:pPr>
        <w:pStyle w:val="Heading2"/>
        <w:spacing w:before="80" w:after="120" w:line="276" w:lineRule="auto"/>
      </w:pPr>
      <w:r>
        <w:t>6.2 Metrics</w:t>
      </w:r>
    </w:p>
    <w:p>
      <w:pPr>
        <w:spacing w:before="0" w:after="60" w:line="276" w:lineRule="auto"/>
        <w:ind w:left="288" w:hanging="259"/>
      </w:pPr>
      <w:r>
        <w:t xml:space="preserve">• </w:t>
      </w:r>
      <w:r>
        <w:t>Element accuracy: whether the predicted target element matches the ground truth.</w:t>
      </w:r>
    </w:p>
    <w:p>
      <w:pPr>
        <w:spacing w:before="0" w:after="60" w:line="276" w:lineRule="auto"/>
        <w:ind w:left="288" w:hanging="259"/>
      </w:pPr>
      <w:r>
        <w:t xml:space="preserve">• </w:t>
      </w:r>
      <w:r>
        <w:t>Point accuracy: whether the predicted click point falls inside the target box.</w:t>
      </w:r>
    </w:p>
    <w:p>
      <w:pPr>
        <w:spacing w:before="0" w:after="60" w:line="276" w:lineRule="auto"/>
        <w:ind w:left="288" w:hanging="259"/>
      </w:pPr>
      <w:r>
        <w:t xml:space="preserve">• </w:t>
      </w:r>
      <w:r>
        <w:t>IoU at common thresholds (e.g., IoU@0.5) for box prediction tasks.</w:t>
      </w:r>
    </w:p>
    <w:p>
      <w:pPr>
        <w:spacing w:before="0" w:after="60" w:line="276" w:lineRule="auto"/>
        <w:ind w:left="288" w:hanging="259"/>
      </w:pPr>
      <w:r>
        <w:t xml:space="preserve">• </w:t>
      </w:r>
      <w:r>
        <w:t>Action-type accuracy for click/type/select/hover classification.</w:t>
      </w:r>
    </w:p>
    <w:p>
      <w:pPr>
        <w:spacing w:before="0" w:after="60" w:line="276" w:lineRule="auto"/>
        <w:ind w:left="288" w:hanging="259"/>
      </w:pPr>
      <w:r>
        <w:t xml:space="preserve">• </w:t>
      </w:r>
      <w:r>
        <w:t>Split-wise generalization: test_task, test_website, and test_domain performance.</w:t>
      </w:r>
    </w:p>
    <w:p>
      <w:pPr>
        <w:spacing w:before="0" w:after="60" w:line="276" w:lineRule="auto"/>
        <w:ind w:left="288" w:hanging="259"/>
      </w:pPr>
      <w:r>
        <w:t xml:space="preserve">• </w:t>
      </w:r>
      <w:r>
        <w:t>Calibration and reranking gain: best-of-k vs first-choice performance.</w:t>
      </w:r>
    </w:p>
    <w:p>
      <w:pPr>
        <w:pStyle w:val="Heading2"/>
        <w:spacing w:before="80" w:after="120" w:line="276" w:lineRule="auto"/>
      </w:pPr>
      <w:r>
        <w:t>6.3 Ablation studies</w:t>
      </w:r>
    </w:p>
    <w:p>
      <w:pPr>
        <w:spacing w:before="0" w:after="60" w:line="276" w:lineRule="auto"/>
        <w:ind w:left="288" w:hanging="259"/>
      </w:pPr>
      <w:r>
        <w:t xml:space="preserve">• </w:t>
      </w:r>
      <w:r>
        <w:t>Pure screenshot input vs screenshot + OCR/DOM candidates.</w:t>
      </w:r>
    </w:p>
    <w:p>
      <w:pPr>
        <w:spacing w:before="0" w:after="60" w:line="276" w:lineRule="auto"/>
        <w:ind w:left="288" w:hanging="259"/>
      </w:pPr>
      <w:r>
        <w:t xml:space="preserve">• </w:t>
      </w:r>
      <w:r>
        <w:t>Single-candidate decoding vs multi-candidate reranking.</w:t>
      </w:r>
    </w:p>
    <w:p>
      <w:pPr>
        <w:spacing w:before="0" w:after="60" w:line="276" w:lineRule="auto"/>
        <w:ind w:left="288" w:hanging="259"/>
      </w:pPr>
      <w:r>
        <w:t xml:space="preserve">• </w:t>
      </w:r>
      <w:r>
        <w:t>Text element vs icon/widget element performance.</w:t>
      </w:r>
    </w:p>
    <w:p>
      <w:pPr>
        <w:spacing w:before="0" w:after="60" w:line="276" w:lineRule="auto"/>
        <w:ind w:left="288" w:hanging="259"/>
      </w:pPr>
      <w:r>
        <w:t xml:space="preserve">• </w:t>
      </w:r>
      <w:r>
        <w:t>Seen websites vs unseen websites vs unseen domains.</w:t>
      </w:r>
    </w:p>
    <w:p>
      <w:pPr>
        <w:spacing w:before="0" w:after="60" w:line="276" w:lineRule="auto"/>
        <w:ind w:left="288" w:hanging="259"/>
      </w:pPr>
      <w:r>
        <w:t xml:space="preserve">• </w:t>
      </w:r>
      <w:r>
        <w:t>Normal benchmark vs high-resolution stress test on ScreenSpot-Pro.</w:t>
      </w:r>
    </w:p>
    <w:p>
      <w:pPr>
        <w:pStyle w:val="Heading1"/>
        <w:spacing w:before="160" w:after="120" w:line="276" w:lineRule="auto"/>
      </w:pPr>
      <w:r>
        <w:t>7. Expected Deliverables</w:t>
      </w:r>
    </w:p>
    <w:p>
      <w:pPr>
        <w:spacing w:before="0" w:after="60" w:line="276" w:lineRule="auto"/>
        <w:ind w:left="288" w:hanging="259"/>
      </w:pPr>
      <w:r>
        <w:t xml:space="preserve">• </w:t>
      </w:r>
      <w:r>
        <w:t>A reproducible training and evaluation pipeline.</w:t>
      </w:r>
    </w:p>
    <w:p>
      <w:pPr>
        <w:spacing w:before="0" w:after="60" w:line="276" w:lineRule="auto"/>
        <w:ind w:left="288" w:hanging="259"/>
      </w:pPr>
      <w:r>
        <w:t xml:space="preserve">• </w:t>
      </w:r>
      <w:r>
        <w:t>A final report with dataset description, method, experiments, ablations, and case studies.</w:t>
      </w:r>
    </w:p>
    <w:p>
      <w:pPr>
        <w:spacing w:before="0" w:after="60" w:line="276" w:lineRule="auto"/>
        <w:ind w:left="288" w:hanging="259"/>
      </w:pPr>
      <w:r>
        <w:t xml:space="preserve">• </w:t>
      </w:r>
      <w:r>
        <w:t>A final presentation summarizing motivation, RL formulation, key results, and error analysis.</w:t>
      </w:r>
    </w:p>
    <w:p>
      <w:pPr>
        <w:spacing w:before="0" w:after="60" w:line="276" w:lineRule="auto"/>
        <w:ind w:left="288" w:hanging="259"/>
      </w:pPr>
      <w:r>
        <w:t xml:space="preserve">• </w:t>
      </w:r>
      <w:r>
        <w:t>A lightweight qualitative demo that visualizes predicted click points / boxes over screenshots.</w:t>
      </w:r>
    </w:p>
    <w:p>
      <w:pPr>
        <w:spacing w:before="0" w:after="60" w:line="276" w:lineRule="auto"/>
        <w:ind w:left="288" w:hanging="259"/>
      </w:pPr>
      <w:r>
        <w:t xml:space="preserve">• </w:t>
      </w:r>
      <w:r>
        <w:t>Resume-ready artifacts: figures showing cross-website generalization and examples of reward-based correction.</w:t>
      </w:r>
    </w:p>
    <w:p>
      <w:pPr>
        <w:pStyle w:val="Heading1"/>
        <w:spacing w:before="160" w:after="120" w:line="276" w:lineRule="auto"/>
      </w:pPr>
      <w:r>
        <w:t>8. Timeline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584"/>
        <w:gridCol w:w="2880"/>
        <w:gridCol w:w="5328"/>
      </w:tblGrid>
      <w:tr>
        <w:trPr>
          <w:tblHeader w:val="true"/>
        </w:trPr>
        <w:tc>
          <w:tcPr>
            <w:tcW w:type="dxa" w:w="3216"/>
            <w:vAlign w:val="center"/>
            <w:tcMar>
              <w:top w:w="120" w:type="dxa"/>
              <w:start w:w="130" w:type="dxa"/>
              <w:bottom w:w="120" w:type="dxa"/>
              <w:end w:w="130" w:type="dxa"/>
            </w:tcMar>
            <w:shd w:fill="DDEBF7"/>
          </w:tcPr>
          <w:p>
            <w:pPr>
              <w:spacing w:before="0" w:after="40" w:line="276" w:lineRule="auto"/>
              <w:jc w:val="center"/>
            </w:pPr>
            <w:r>
              <w:rPr>
                <w:b/>
              </w:rPr>
              <w:t>Week</w:t>
            </w:r>
          </w:p>
        </w:tc>
        <w:tc>
          <w:tcPr>
            <w:tcW w:type="dxa" w:w="3216"/>
            <w:vAlign w:val="center"/>
            <w:tcMar>
              <w:top w:w="120" w:type="dxa"/>
              <w:start w:w="130" w:type="dxa"/>
              <w:bottom w:w="120" w:type="dxa"/>
              <w:end w:w="130" w:type="dxa"/>
            </w:tcMar>
            <w:shd w:fill="DDEBF7"/>
          </w:tcPr>
          <w:p>
            <w:pPr>
              <w:spacing w:before="0" w:after="40" w:line="276" w:lineRule="auto"/>
              <w:jc w:val="center"/>
            </w:pPr>
            <w:r>
              <w:rPr>
                <w:b/>
              </w:rPr>
              <w:t>Milestone</w:t>
            </w:r>
          </w:p>
        </w:tc>
        <w:tc>
          <w:tcPr>
            <w:tcW w:type="dxa" w:w="3216"/>
            <w:vAlign w:val="center"/>
            <w:tcMar>
              <w:top w:w="120" w:type="dxa"/>
              <w:start w:w="130" w:type="dxa"/>
              <w:bottom w:w="120" w:type="dxa"/>
              <w:end w:w="130" w:type="dxa"/>
            </w:tcMar>
            <w:shd w:fill="DDEBF7"/>
          </w:tcPr>
          <w:p>
            <w:pPr>
              <w:spacing w:before="0" w:after="40" w:line="276" w:lineRule="auto"/>
              <w:jc w:val="center"/>
            </w:pPr>
            <w:r>
              <w:rPr>
                <w:b/>
              </w:rPr>
              <w:t>Output</w:t>
            </w:r>
          </w:p>
        </w:tc>
      </w:tr>
      <w:tr>
        <w:trPr>
          <w:cantSplit/>
        </w:trPr>
        <w:tc>
          <w:tcPr>
            <w:tcW w:type="dxa" w:w="1584"/>
            <w:vAlign w:val="center"/>
            <w:tcMar>
              <w:top w:w="120" w:type="dxa"/>
              <w:start w:w="130" w:type="dxa"/>
              <w:bottom w:w="120" w:type="dxa"/>
              <w:end w:w="130" w:type="dxa"/>
            </w:tcMar>
            <w:shd w:fill="F9FBFD"/>
          </w:tcPr>
          <w:p>
            <w:pPr>
              <w:spacing w:before="0" w:after="40" w:line="276" w:lineRule="auto"/>
              <w:jc w:val="center"/>
            </w:pPr>
            <w:r>
              <w:t>1</w:t>
            </w:r>
          </w:p>
        </w:tc>
        <w:tc>
          <w:tcPr>
            <w:tcW w:type="dxa" w:w="2880"/>
            <w:vAlign w:val="center"/>
            <w:tcMar>
              <w:top w:w="120" w:type="dxa"/>
              <w:start w:w="130" w:type="dxa"/>
              <w:bottom w:w="120" w:type="dxa"/>
              <w:end w:w="130" w:type="dxa"/>
            </w:tcMar>
            <w:shd w:fill="F9FBFD"/>
          </w:tcPr>
          <w:p>
            <w:pPr>
              <w:spacing w:before="0" w:after="40" w:line="276" w:lineRule="auto"/>
              <w:jc w:val="left"/>
            </w:pPr>
            <w:r>
              <w:t>Dataset setup + baseline reproduction</w:t>
            </w:r>
          </w:p>
        </w:tc>
        <w:tc>
          <w:tcPr>
            <w:tcW w:type="dxa" w:w="5328"/>
            <w:vAlign w:val="center"/>
            <w:tcMar>
              <w:top w:w="120" w:type="dxa"/>
              <w:start w:w="130" w:type="dxa"/>
              <w:bottom w:w="120" w:type="dxa"/>
              <w:end w:w="130" w:type="dxa"/>
            </w:tcMar>
            <w:shd w:fill="F9FBFD"/>
          </w:tcPr>
          <w:p>
            <w:pPr>
              <w:spacing w:before="0" w:after="40" w:line="276" w:lineRule="auto"/>
              <w:jc w:val="left"/>
            </w:pPr>
            <w:r>
              <w:t>Download datasets, preprocess samples, reproduce a basic supervised grounding result.</w:t>
            </w:r>
          </w:p>
        </w:tc>
      </w:tr>
      <w:tr>
        <w:trPr>
          <w:cantSplit/>
        </w:trPr>
        <w:tc>
          <w:tcPr>
            <w:tcW w:type="dxa" w:w="1584"/>
            <w:vAlign w:val="center"/>
            <w:tcMar>
              <w:top w:w="120" w:type="dxa"/>
              <w:start w:w="130" w:type="dxa"/>
              <w:bottom w:w="120" w:type="dxa"/>
              <w:end w:w="130" w:type="dxa"/>
            </w:tcMar>
            <w:shd w:fill="FFFFFF"/>
          </w:tcPr>
          <w:p>
            <w:pPr>
              <w:spacing w:before="0" w:after="40" w:line="276" w:lineRule="auto"/>
              <w:jc w:val="center"/>
            </w:pPr>
            <w:r>
              <w:t>2</w:t>
            </w:r>
          </w:p>
        </w:tc>
        <w:tc>
          <w:tcPr>
            <w:tcW w:type="dxa" w:w="2880"/>
            <w:vAlign w:val="center"/>
            <w:tcMar>
              <w:top w:w="120" w:type="dxa"/>
              <w:start w:w="130" w:type="dxa"/>
              <w:bottom w:w="120" w:type="dxa"/>
              <w:end w:w="130" w:type="dxa"/>
            </w:tcMar>
            <w:shd w:fill="FFFFFF"/>
          </w:tcPr>
          <w:p>
            <w:pPr>
              <w:spacing w:before="0" w:after="40" w:line="276" w:lineRule="auto"/>
              <w:jc w:val="left"/>
            </w:pPr>
            <w:r>
              <w:t>Model training</w:t>
            </w:r>
          </w:p>
        </w:tc>
        <w:tc>
          <w:tcPr>
            <w:tcW w:type="dxa" w:w="5328"/>
            <w:vAlign w:val="center"/>
            <w:tcMar>
              <w:top w:w="120" w:type="dxa"/>
              <w:start w:w="130" w:type="dxa"/>
              <w:bottom w:w="120" w:type="dxa"/>
              <w:end w:w="130" w:type="dxa"/>
            </w:tcMar>
            <w:shd w:fill="FFFFFF"/>
          </w:tcPr>
          <w:p>
            <w:pPr>
              <w:spacing w:before="0" w:after="40" w:line="276" w:lineRule="auto"/>
              <w:jc w:val="left"/>
            </w:pPr>
            <w:r>
              <w:t>Train the SFT baseline and establish metrics on the official splits.</w:t>
            </w:r>
          </w:p>
        </w:tc>
      </w:tr>
      <w:tr>
        <w:trPr>
          <w:cantSplit/>
        </w:trPr>
        <w:tc>
          <w:tcPr>
            <w:tcW w:type="dxa" w:w="1584"/>
            <w:vAlign w:val="center"/>
            <w:tcMar>
              <w:top w:w="120" w:type="dxa"/>
              <w:start w:w="130" w:type="dxa"/>
              <w:bottom w:w="120" w:type="dxa"/>
              <w:end w:w="130" w:type="dxa"/>
            </w:tcMar>
            <w:shd w:fill="F9FBFD"/>
          </w:tcPr>
          <w:p>
            <w:pPr>
              <w:spacing w:before="0" w:after="40" w:line="276" w:lineRule="auto"/>
              <w:jc w:val="center"/>
            </w:pPr>
            <w:r>
              <w:t>3</w:t>
            </w:r>
          </w:p>
        </w:tc>
        <w:tc>
          <w:tcPr>
            <w:tcW w:type="dxa" w:w="2880"/>
            <w:vAlign w:val="center"/>
            <w:tcMar>
              <w:top w:w="120" w:type="dxa"/>
              <w:start w:w="130" w:type="dxa"/>
              <w:bottom w:w="120" w:type="dxa"/>
              <w:end w:w="130" w:type="dxa"/>
            </w:tcMar>
            <w:shd w:fill="F9FBFD"/>
          </w:tcPr>
          <w:p>
            <w:pPr>
              <w:spacing w:before="0" w:after="40" w:line="276" w:lineRule="auto"/>
              <w:jc w:val="left"/>
            </w:pPr>
            <w:r>
              <w:t>Reward module</w:t>
            </w:r>
          </w:p>
        </w:tc>
        <w:tc>
          <w:tcPr>
            <w:tcW w:type="dxa" w:w="5328"/>
            <w:vAlign w:val="center"/>
            <w:tcMar>
              <w:top w:w="120" w:type="dxa"/>
              <w:start w:w="130" w:type="dxa"/>
              <w:bottom w:w="120" w:type="dxa"/>
              <w:end w:w="130" w:type="dxa"/>
            </w:tcMar>
            <w:shd w:fill="F9FBFD"/>
          </w:tcPr>
          <w:p>
            <w:pPr>
              <w:spacing w:before="0" w:after="40" w:line="276" w:lineRule="auto"/>
              <w:jc w:val="left"/>
            </w:pPr>
            <w:r>
              <w:t>Implement candidate generation and verifiable reward scoring; run reranking experiments.</w:t>
            </w:r>
          </w:p>
        </w:tc>
      </w:tr>
      <w:tr>
        <w:trPr>
          <w:cantSplit/>
        </w:trPr>
        <w:tc>
          <w:tcPr>
            <w:tcW w:type="dxa" w:w="1584"/>
            <w:vAlign w:val="center"/>
            <w:tcMar>
              <w:top w:w="120" w:type="dxa"/>
              <w:start w:w="130" w:type="dxa"/>
              <w:bottom w:w="120" w:type="dxa"/>
              <w:end w:w="130" w:type="dxa"/>
            </w:tcMar>
            <w:shd w:fill="FFFFFF"/>
          </w:tcPr>
          <w:p>
            <w:pPr>
              <w:spacing w:before="0" w:after="40" w:line="276" w:lineRule="auto"/>
              <w:jc w:val="center"/>
            </w:pPr>
            <w:r>
              <w:t>4</w:t>
            </w:r>
          </w:p>
        </w:tc>
        <w:tc>
          <w:tcPr>
            <w:tcW w:type="dxa" w:w="2880"/>
            <w:vAlign w:val="center"/>
            <w:tcMar>
              <w:top w:w="120" w:type="dxa"/>
              <w:start w:w="130" w:type="dxa"/>
              <w:bottom w:w="120" w:type="dxa"/>
              <w:end w:w="130" w:type="dxa"/>
            </w:tcMar>
            <w:shd w:fill="FFFFFF"/>
          </w:tcPr>
          <w:p>
            <w:pPr>
              <w:spacing w:before="0" w:after="40" w:line="276" w:lineRule="auto"/>
              <w:jc w:val="left"/>
            </w:pPr>
            <w:r>
              <w:t>Preference / GRPO extension</w:t>
            </w:r>
          </w:p>
        </w:tc>
        <w:tc>
          <w:tcPr>
            <w:tcW w:type="dxa" w:w="5328"/>
            <w:vAlign w:val="center"/>
            <w:tcMar>
              <w:top w:w="120" w:type="dxa"/>
              <w:start w:w="130" w:type="dxa"/>
              <w:bottom w:w="120" w:type="dxa"/>
              <w:end w:w="130" w:type="dxa"/>
            </w:tcMar>
            <w:shd w:fill="FFFFFF"/>
          </w:tcPr>
          <w:p>
            <w:pPr>
              <w:spacing w:before="0" w:after="40" w:line="276" w:lineRule="auto"/>
              <w:jc w:val="left"/>
            </w:pPr>
            <w:r>
              <w:t>Add pairwise preference learning or lightweight group reward optimization.</w:t>
            </w:r>
          </w:p>
        </w:tc>
      </w:tr>
      <w:tr>
        <w:trPr>
          <w:cantSplit/>
        </w:trPr>
        <w:tc>
          <w:tcPr>
            <w:tcW w:type="dxa" w:w="1584"/>
            <w:vAlign w:val="center"/>
            <w:tcMar>
              <w:top w:w="120" w:type="dxa"/>
              <w:start w:w="130" w:type="dxa"/>
              <w:bottom w:w="120" w:type="dxa"/>
              <w:end w:w="130" w:type="dxa"/>
            </w:tcMar>
            <w:shd w:fill="F9FBFD"/>
          </w:tcPr>
          <w:p>
            <w:pPr>
              <w:spacing w:before="0" w:after="40" w:line="276" w:lineRule="auto"/>
              <w:jc w:val="center"/>
            </w:pPr>
            <w:r>
              <w:t>5</w:t>
            </w:r>
          </w:p>
        </w:tc>
        <w:tc>
          <w:tcPr>
            <w:tcW w:type="dxa" w:w="2880"/>
            <w:vAlign w:val="center"/>
            <w:tcMar>
              <w:top w:w="120" w:type="dxa"/>
              <w:start w:w="130" w:type="dxa"/>
              <w:bottom w:w="120" w:type="dxa"/>
              <w:end w:w="130" w:type="dxa"/>
            </w:tcMar>
            <w:shd w:fill="F9FBFD"/>
          </w:tcPr>
          <w:p>
            <w:pPr>
              <w:spacing w:before="0" w:after="40" w:line="276" w:lineRule="auto"/>
              <w:jc w:val="left"/>
            </w:pPr>
            <w:r>
              <w:t>Ablation + error analysis</w:t>
            </w:r>
          </w:p>
        </w:tc>
        <w:tc>
          <w:tcPr>
            <w:tcW w:type="dxa" w:w="5328"/>
            <w:vAlign w:val="center"/>
            <w:tcMar>
              <w:top w:w="120" w:type="dxa"/>
              <w:start w:w="130" w:type="dxa"/>
              <w:bottom w:w="120" w:type="dxa"/>
              <w:end w:w="130" w:type="dxa"/>
            </w:tcMar>
            <w:shd w:fill="F9FBFD"/>
          </w:tcPr>
          <w:p>
            <w:pPr>
              <w:spacing w:before="0" w:after="40" w:line="276" w:lineRule="auto"/>
              <w:jc w:val="left"/>
            </w:pPr>
            <w:r>
              <w:t>Run cross-website/domain studies, text-vs-icon analysis, and qualitative case studies.</w:t>
            </w:r>
          </w:p>
        </w:tc>
      </w:tr>
      <w:tr>
        <w:trPr>
          <w:cantSplit/>
        </w:trPr>
        <w:tc>
          <w:tcPr>
            <w:tcW w:type="dxa" w:w="1584"/>
            <w:vAlign w:val="center"/>
            <w:tcMar>
              <w:top w:w="120" w:type="dxa"/>
              <w:start w:w="130" w:type="dxa"/>
              <w:bottom w:w="120" w:type="dxa"/>
              <w:end w:w="130" w:type="dxa"/>
            </w:tcMar>
            <w:shd w:fill="FFFFFF"/>
          </w:tcPr>
          <w:p>
            <w:pPr>
              <w:spacing w:before="0" w:after="40" w:line="276" w:lineRule="auto"/>
              <w:jc w:val="center"/>
            </w:pPr>
            <w:r>
              <w:t>6</w:t>
            </w:r>
          </w:p>
        </w:tc>
        <w:tc>
          <w:tcPr>
            <w:tcW w:type="dxa" w:w="2880"/>
            <w:vAlign w:val="center"/>
            <w:tcMar>
              <w:top w:w="120" w:type="dxa"/>
              <w:start w:w="130" w:type="dxa"/>
              <w:bottom w:w="120" w:type="dxa"/>
              <w:end w:w="130" w:type="dxa"/>
            </w:tcMar>
            <w:shd w:fill="FFFFFF"/>
          </w:tcPr>
          <w:p>
            <w:pPr>
              <w:spacing w:before="0" w:after="40" w:line="276" w:lineRule="auto"/>
              <w:jc w:val="left"/>
            </w:pPr>
            <w:r>
              <w:t>Packaging</w:t>
            </w:r>
          </w:p>
        </w:tc>
        <w:tc>
          <w:tcPr>
            <w:tcW w:type="dxa" w:w="5328"/>
            <w:vAlign w:val="center"/>
            <w:tcMar>
              <w:top w:w="120" w:type="dxa"/>
              <w:start w:w="130" w:type="dxa"/>
              <w:bottom w:w="120" w:type="dxa"/>
              <w:end w:w="130" w:type="dxa"/>
            </w:tcMar>
            <w:shd w:fill="FFFFFF"/>
          </w:tcPr>
          <w:p>
            <w:pPr>
              <w:spacing w:before="0" w:after="40" w:line="276" w:lineRule="auto"/>
              <w:jc w:val="left"/>
            </w:pPr>
            <w:r>
              <w:t>Finish report, create figures, polish presentation, and prepare the final demo.</w:t>
            </w:r>
          </w:p>
        </w:tc>
      </w:tr>
    </w:tbl>
    <w:p>
      <w:pPr>
        <w:pStyle w:val="Heading1"/>
        <w:spacing w:before="160" w:after="120" w:line="276" w:lineRule="auto"/>
      </w:pPr>
      <w:r>
        <w:t>9. Risks and Mitigation</w:t>
      </w:r>
    </w:p>
    <w:p>
      <w:pPr>
        <w:spacing w:before="0" w:after="80" w:line="276" w:lineRule="auto"/>
      </w:pPr>
      <w:r>
        <w:rPr>
          <w:b/>
        </w:rPr>
        <w:t xml:space="preserve">Risk 1 - scope explosion. </w:t>
      </w:r>
      <w:r>
        <w:t>The full browser-agent problem is too large for a course project. To control scope, this proposal focuses only on the grounding and action-prediction layer, not long-horizon browser execution.</w:t>
      </w:r>
    </w:p>
    <w:p>
      <w:pPr>
        <w:spacing w:before="0" w:after="80" w:line="276" w:lineRule="auto"/>
      </w:pPr>
      <w:r>
        <w:rPr>
          <w:b/>
        </w:rPr>
        <w:t xml:space="preserve">Risk 2 - RL instability. </w:t>
      </w:r>
      <w:r>
        <w:t>Instead of immediately training a large model with PPO, the project prioritizes simpler and more robust reward-based reranking or pairwise optimization. Lightweight GRPO or bandit-style optimization is an extension, not a dependency for success.</w:t>
      </w:r>
    </w:p>
    <w:p>
      <w:pPr>
        <w:spacing w:before="0" w:after="80" w:line="276" w:lineRule="auto"/>
      </w:pPr>
      <w:r>
        <w:rPr>
          <w:b/>
        </w:rPr>
        <w:t xml:space="preserve">Risk 3 - benchmark mismatch. </w:t>
      </w:r>
      <w:r>
        <w:t>The training data is web-heavy, whereas evaluation may span desktop and mobile. This is not a bug but part of the research value: it allows explicit measurement of cross-platform generalization and reveals whether structural cues help transfer.</w:t>
      </w:r>
    </w:p>
    <w:p>
      <w:pPr>
        <w:spacing w:before="0" w:after="160" w:line="276" w:lineRule="auto"/>
      </w:pPr>
      <w:r>
        <w:rPr>
          <w:b/>
        </w:rPr>
        <w:t xml:space="preserve">Risk 4 - compute budget. </w:t>
      </w:r>
      <w:r>
        <w:t>The proposal intentionally uses compact open-source VLMs and staged training so that meaningful results can be obtained without large-scale cluster resources.</w:t>
      </w:r>
    </w:p>
    <w:p>
      <w:pPr>
        <w:pStyle w:val="Heading1"/>
        <w:spacing w:before="160" w:after="120" w:line="276" w:lineRule="auto"/>
      </w:pPr>
      <w:r>
        <w:t>10. Expected Contribution Statement</w:t>
      </w:r>
    </w:p>
    <w:p>
      <w:pPr>
        <w:spacing w:before="0" w:after="80" w:line="276" w:lineRule="auto"/>
      </w:pPr>
      <w:r>
        <w:rPr>
          <w:b/>
        </w:rPr>
        <w:t xml:space="preserve">Scientific value. </w:t>
      </w:r>
      <w:r>
        <w:t>This project studies whether verifiable rewards help a multimodal model move from “plausible screenshot understanding” to “reliably grounded action selection”, especially under cross-website shift.</w:t>
      </w:r>
    </w:p>
    <w:p>
      <w:pPr>
        <w:spacing w:before="0" w:after="80" w:line="276" w:lineRule="auto"/>
      </w:pPr>
      <w:r>
        <w:rPr>
          <w:b/>
        </w:rPr>
        <w:t xml:space="preserve">Engineering value. </w:t>
      </w:r>
      <w:r>
        <w:t>The outcome is highly aligned with real multimodal LLM engineering roles because it combines vision-language modeling, structured prediction, evaluation design, reward shaping, and deployment-style visual diagnostics.</w:t>
      </w:r>
    </w:p>
    <w:p>
      <w:pPr>
        <w:spacing w:before="0" w:after="200" w:line="276" w:lineRule="auto"/>
      </w:pPr>
      <w:r>
        <w:rPr>
          <w:b/>
        </w:rPr>
        <w:t xml:space="preserve">Resume value. </w:t>
      </w:r>
      <w:r>
        <w:t>If successful, the project can be presented as a practical screen-understanding system for computer-use agents with strong benchmark-based evidence and a clear reward-optimization story.</w:t>
      </w:r>
    </w:p>
    <w:p>
      <w:pPr>
        <w:pStyle w:val="Heading1"/>
        <w:spacing w:before="160" w:after="120" w:line="276" w:lineRule="auto"/>
      </w:pPr>
      <w:r>
        <w:t>References</w:t>
      </w:r>
    </w:p>
    <w:p>
      <w:pPr>
        <w:spacing w:before="0" w:after="60" w:line="276" w:lineRule="auto"/>
      </w:pPr>
      <w:r>
        <w:t>[1] Deng et al., “Mind2Web: Towards a Generalist Agent for the Web,” NeurIPS 2023 Datasets and Benchmarks Track.</w:t>
      </w:r>
    </w:p>
    <w:p>
      <w:pPr>
        <w:spacing w:before="0" w:after="60" w:line="276" w:lineRule="auto"/>
      </w:pPr>
      <w:r>
        <w:t>[2] Zheng et al., “GPT-4V(ision) is a Generalist Web Agent, if Grounded,” arXiv 2024. Multimodal-Mind2Web / SeeAct resources.</w:t>
      </w:r>
    </w:p>
    <w:p>
      <w:pPr>
        <w:spacing w:before="0" w:after="60" w:line="276" w:lineRule="auto"/>
      </w:pPr>
      <w:r>
        <w:t>[3] Cheng et al., “SeeClick: Harnessing GUI Grounding for Advanced Visual GUI Agents,” 2024. ScreenSpot benchmark.</w:t>
      </w:r>
    </w:p>
    <w:p>
      <w:pPr>
        <w:spacing w:before="0" w:after="60" w:line="276" w:lineRule="auto"/>
      </w:pPr>
      <w:r>
        <w:t>[4] ScreenSpot-v2 dataset card and release notes, 2025.</w:t>
      </w:r>
    </w:p>
    <w:p>
      <w:pPr>
        <w:spacing w:before="0" w:after="60" w:line="276" w:lineRule="auto"/>
      </w:pPr>
      <w:r>
        <w:t>[5] Wang et al., “VisualWebBench: How Far Have Multimodal LLMs Evolved in Web Page Understanding and Grounding?” GitHub benchmark release, 2024.</w:t>
      </w:r>
    </w:p>
    <w:p>
      <w:pPr>
        <w:spacing w:before="0" w:after="60" w:line="276" w:lineRule="auto"/>
      </w:pPr>
      <w:r>
        <w:t>[6] Li et al., “ScreenSpot-Pro: GUI Grounding for Professional High-Resolution Computer Use,” 2025.</w:t>
      </w:r>
    </w:p>
    <w:p>
      <w:pPr>
        <w:spacing w:before="0" w:after="60" w:line="276" w:lineRule="auto"/>
      </w:pPr>
      <w:r>
        <w:t>[7] CSC6129 Reinforcement Learning course introduction slides (uploaded course materials).</w:t>
      </w:r>
    </w:p>
    <w:p>
      <w:pPr>
        <w:spacing w:before="0" w:after="60" w:line="276" w:lineRule="auto"/>
      </w:pPr>
      <w:r>
        <w:t>[8] Final-Project (Others) topic list (uploaded course materials).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363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36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