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160" w:line="240" w:lineRule="auto"/>
        <w:jc w:val="center"/>
      </w:pPr>
      <w:r>
        <w:rPr>
          <w:rFonts w:ascii="Noto Serif CJK SC" w:hAnsi="Noto Serif CJK SC" w:eastAsia="Noto Serif CJK SC" w:cs="Noto Serif CJK SC"/>
          <w:b/>
          <w:color w:val="1F4E79"/>
          <w:sz w:val="48"/>
        </w:rPr>
        <w:t>升级版项目开发蓝图</w:t>
      </w:r>
    </w:p>
    <w:p>
      <w:pPr>
        <w:spacing w:before="0" w:after="80" w:line="240" w:lineRule="auto"/>
        <w:jc w:val="center"/>
      </w:pPr>
      <w:r>
        <w:rPr>
          <w:rFonts w:ascii="Noto Sans CJK SC" w:hAnsi="Noto Sans CJK SC" w:eastAsia="Noto Sans CJK SC" w:cs="Noto Sans CJK SC"/>
          <w:b/>
          <w:color w:val="0F6CA8"/>
          <w:sz w:val="29"/>
        </w:rPr>
        <w:t>3D Structured Spatial Reasoning for Embodied Perception</w:t>
      </w:r>
    </w:p>
    <w:p>
      <w:pPr>
        <w:spacing w:before="0" w:after="360" w:line="276" w:lineRule="auto"/>
        <w:jc w:val="center"/>
      </w:pPr>
      <w:r>
        <w:rPr>
          <w:rFonts w:ascii="Noto Sans CJK SC" w:hAnsi="Noto Sans CJK SC" w:eastAsia="Noto Sans CJK SC" w:cs="Noto Sans CJK SC"/>
          <w:color w:val="666666"/>
          <w:sz w:val="23"/>
        </w:rPr>
        <w:t>面向 CSC6133 课程作业、GitHub 主页、简历与多模态 / 具身智能岗位投递的桥梁型项目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EEF5FB"/>
            <w:tcBorders>
              <w:top w:val="single" w:sz="10" w:space="0" w:color="BFD7EA"/>
              <w:left w:val="single" w:sz="10" w:space="0" w:color="BFD7EA"/>
              <w:bottom w:val="single" w:sz="10" w:space="0" w:color="BFD7EA"/>
              <w:right w:val="single" w:sz="10" w:space="0" w:color="BFD7EA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3"/>
              </w:rPr>
              <w:t>一句话升级定位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color w:val="222222"/>
                <w:sz w:val="20"/>
              </w:rPr>
              <w:t>把原始 proposal 中“3D referring expression grounding with relation-robust reasoning”升级为“面向具身系统的结构化 3D 空间推理与目标 grounding 模块”。它不再只是一个 benchmark baseline，而是你从 3D 感知走向 VLA / embodied planning 的中间桥梁项目。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8FBFE"/>
            <w:tcBorders>
              <w:top w:val="single" w:sz="10" w:space="0" w:color="BFD7EA"/>
              <w:left w:val="single" w:sz="10" w:space="0" w:color="BFD7EA"/>
              <w:bottom w:val="single" w:sz="10" w:space="0" w:color="BFD7EA"/>
              <w:right w:val="single" w:sz="10" w:space="0" w:color="BFD7EA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3"/>
              </w:rPr>
              <w:t>这份蓝图的核心目的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color w:val="222222"/>
                <w:sz w:val="20"/>
              </w:rPr>
              <w:t>第一，保留你原 proposal 的学术内核：基于 ReferIt3D / ScanNet 的 3D 目标定位与关系建模；第二，把它包装成一个可开发、可评测、可解释、可放简历的工程化项目；第三，显式与另外三个课程项目拉开边界，避免主页叙事发生冲突。</w:t>
            </w:r>
          </w:p>
        </w:tc>
      </w:tr>
    </w:tbl>
    <w:p/>
    <w:p>
      <w:pPr>
        <w:spacing w:before="400" w:after="80" w:line="240" w:lineRule="auto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>Prepared for Che Cheng</w:t>
      </w:r>
    </w:p>
    <w:p>
      <w:pPr>
        <w:spacing w:before="0" w:after="0" w:line="240" w:lineRule="auto"/>
        <w:jc w:val="center"/>
      </w:pPr>
      <w:r>
        <w:rPr>
          <w:rFonts w:ascii="Noto Sans CJK SC" w:hAnsi="Noto Sans CJK SC" w:eastAsia="Noto Sans CJK SC" w:cs="Noto Sans CJK SC"/>
          <w:color w:val="666666"/>
          <w:sz w:val="20"/>
        </w:rPr>
        <w:t>March 2026</w:t>
      </w:r>
    </w:p>
    <w:p>
      <w:r>
        <w:br w:type="page"/>
      </w:r>
    </w:p>
    <w:p>
      <w:pPr>
        <w:pStyle w:val="Heading1"/>
        <w:spacing w:before="240" w:after="120" w:line="264" w:lineRule="auto"/>
      </w:pPr>
      <w:r>
        <w:rPr>
          <w:rFonts w:ascii="Noto Serif CJK SC" w:hAnsi="Noto Serif CJK SC" w:eastAsia="Noto Serif CJK SC" w:cs="Noto Serif CJK SC"/>
          <w:b/>
          <w:color w:val="1F4E79"/>
          <w:sz w:val="31"/>
        </w:rPr>
        <w:t>1. 执行摘要：为什么这个项目值得升级，而不是只做原 proposal 的缩小版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你当前的原始 proposal 已经具备一个合格课程项目的基本骨架：问题清楚，数据集明确，方法有可实现性，实验指标也比较规范。它的基础任务是 3D referring expression grounding，核心改进点是显式 target–anchor 关系建模、soft anchor selection，以及用 InternVL 只做轻量结构化解析。这个方向本身没有问题，但如果直接按 proposal 的原始形态继续推进，它更像一个“3D grounding benchmark 上的模型改进”，对课程提交足够，对简历也能写，但还不够自然地嵌入你现在的整体研究与求职主线。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升级的关键并不是把模型堆得更大，而是把项目重新定位为：在具身系统中负责“语言指向的目标对象 grounding + 空间关系理解 + 可解释诊断输出”的结构化 3D 感知层。这样一来，这个项目就从单纯的 3D grounding baseline，变成了你整个 portfolio 里承上启下的一块：上接 3D 视觉与几何表征，下接 VLA / policy / scene memory / planning。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因此，升级后的项目应该坚持三条原则。第一，研究问题仍然围绕 3D 目标定位与空间关系推理，不和 EmbodiedSceneAgent 的长程规划闭环抢角色。第二，系统设计上强调结构化输入、结构化输出、硬案例分析和可解释可视化，不和 GUI grounding 的网页屏幕智能体叙事混淆。第三，成果包装上突出“bridge project / embodied perception bridge / structured spatial reasoning”，让它在你求职时自然处在“三维感知”和“具身策略”之间。</w:t>
      </w:r>
    </w:p>
    <w:p>
      <w:pPr>
        <w:pStyle w:val="Heading1"/>
        <w:spacing w:before="240" w:after="120" w:line="264" w:lineRule="auto"/>
      </w:pPr>
      <w:r>
        <w:rPr>
          <w:rFonts w:ascii="Noto Serif CJK SC" w:hAnsi="Noto Serif CJK SC" w:eastAsia="Noto Serif CJK SC" w:cs="Noto Serif CJK SC"/>
          <w:b/>
          <w:color w:val="1F4E79"/>
          <w:sz w:val="31"/>
        </w:rPr>
        <w:t>2. 与另外三个课程项目的明确区分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5F9FD"/>
            <w:tcBorders>
              <w:top w:val="single" w:sz="10" w:space="0" w:color="BFD7EA"/>
              <w:left w:val="single" w:sz="10" w:space="0" w:color="BFD7EA"/>
              <w:bottom w:val="single" w:sz="10" w:space="0" w:color="BFD7EA"/>
              <w:right w:val="single" w:sz="10" w:space="0" w:color="BFD7EA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3"/>
              </w:rPr>
              <w:t>先给结论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color w:val="222222"/>
                <w:sz w:val="20"/>
              </w:rPr>
              <w:t>这四个项目不能都写成“我训练了一个多模态模型”。最稳妥的 portfolio 结构是：Qwen 代码后训练项目代表 post-training / RLHF-style verifiable optimization；GUI grounding 项目代表 screen understanding / computer-use agent；EmbodiedSceneAgent 代表 long-horizon embodied cognition；本项目则专门占据 3D structured perception / spatial grounding 这一层。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814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项目</w:t>
            </w:r>
          </w:p>
        </w:tc>
        <w:tc>
          <w:tcPr>
            <w:tcW w:type="dxa" w:w="1814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核心层级</w:t>
            </w:r>
          </w:p>
        </w:tc>
        <w:tc>
          <w:tcPr>
            <w:tcW w:type="dxa" w:w="2154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输入与输出</w:t>
            </w:r>
          </w:p>
        </w:tc>
        <w:tc>
          <w:tcPr>
            <w:tcW w:type="dxa" w:w="2268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最该证明什么</w:t>
            </w:r>
          </w:p>
        </w:tc>
        <w:tc>
          <w:tcPr>
            <w:tcW w:type="dxa" w:w="1701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边界提醒</w:t>
            </w:r>
          </w:p>
        </w:tc>
      </w:tr>
      <w:tr>
        <w:tc>
          <w:tcPr>
            <w:tcW w:type="dxa" w:w="181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Qwen3-14B + MBPP + HumanEval</w:t>
            </w:r>
          </w:p>
        </w:tc>
        <w:tc>
          <w:tcPr>
            <w:tcW w:type="dxa" w:w="181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后训练与可验证优化</w:t>
            </w:r>
          </w:p>
        </w:tc>
        <w:tc>
          <w:tcPr>
            <w:tcW w:type="dxa" w:w="215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Text → Code</w:t>
            </w:r>
          </w:p>
        </w:tc>
        <w:tc>
          <w:tcPr>
            <w:tcW w:type="dxa" w:w="226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你会做 SFT、GRPO、reward、统一评测</w:t>
            </w:r>
          </w:p>
        </w:tc>
        <w:tc>
          <w:tcPr>
            <w:tcW w:type="dxa" w:w="170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不要把本项目写成又一个 post-training 项目</w:t>
            </w:r>
          </w:p>
        </w:tc>
      </w:tr>
      <w:tr>
        <w:tc>
          <w:tcPr>
            <w:tcW w:type="dxa" w:w="181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Cross-Website GUI Grounding</w:t>
            </w:r>
          </w:p>
        </w:tc>
        <w:tc>
          <w:tcPr>
            <w:tcW w:type="dxa" w:w="181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屏幕理解与 computer-use agent</w:t>
            </w:r>
          </w:p>
        </w:tc>
        <w:tc>
          <w:tcPr>
            <w:tcW w:type="dxa" w:w="215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Screenshot + instruction → UI action</w:t>
            </w:r>
          </w:p>
        </w:tc>
        <w:tc>
          <w:tcPr>
            <w:tcW w:type="dxa" w:w="226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你会做 GUI grounding、候选 reranking、cross-website 泛化</w:t>
            </w:r>
          </w:p>
        </w:tc>
        <w:tc>
          <w:tcPr>
            <w:tcW w:type="dxa" w:w="170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不要把本项目写成 3D 版本的 GUI grounding</w:t>
            </w:r>
          </w:p>
        </w:tc>
      </w:tr>
      <w:tr>
        <w:tc>
          <w:tcPr>
            <w:tcW w:type="dxa" w:w="181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EmbodiedSceneAgent</w:t>
            </w:r>
          </w:p>
        </w:tc>
        <w:tc>
          <w:tcPr>
            <w:tcW w:type="dxa" w:w="181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长程具身认知与规划闭环</w:t>
            </w:r>
          </w:p>
        </w:tc>
        <w:tc>
          <w:tcPr>
            <w:tcW w:type="dxa" w:w="215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Scene memory + language → subgoal / skill / replan</w:t>
            </w:r>
          </w:p>
        </w:tc>
        <w:tc>
          <w:tcPr>
            <w:tcW w:type="dxa" w:w="226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你会做 planner、verifier、replanner、认知闭环</w:t>
            </w:r>
          </w:p>
        </w:tc>
        <w:tc>
          <w:tcPr>
            <w:tcW w:type="dxa" w:w="170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不要让本项目越界去做完整 planning 系统</w:t>
            </w:r>
          </w:p>
        </w:tc>
      </w:tr>
      <w:tr>
        <w:tc>
          <w:tcPr>
            <w:tcW w:type="dxa" w:w="181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本项目：3D Structured Spatial Reasoning</w:t>
            </w:r>
          </w:p>
        </w:tc>
        <w:tc>
          <w:tcPr>
            <w:tcW w:type="dxa" w:w="181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结构化 3D 感知桥梁层</w:t>
            </w:r>
          </w:p>
        </w:tc>
        <w:tc>
          <w:tcPr>
            <w:tcW w:type="dxa" w:w="215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3D objects + language → grounded target + anchor + rationale</w:t>
            </w:r>
          </w:p>
        </w:tc>
        <w:tc>
          <w:tcPr>
            <w:tcW w:type="dxa" w:w="226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你会做 3D grounding、空间关系推理、hard-case 诊断与解释</w:t>
            </w:r>
          </w:p>
        </w:tc>
        <w:tc>
          <w:tcPr>
            <w:tcW w:type="dxa" w:w="170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专注 perception/grounding，不抢 execution/planning 的角色</w:t>
            </w:r>
          </w:p>
        </w:tc>
      </w:tr>
    </w:tbl>
    <w:p/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你在主页和简历里的叙事顺序可以写成：Code post-training → GUI agent perception → 3D structured spatial reasoning → Embodied planning。这样每个项目都占据不同的技术剖面，不会互相吞没。尤其本项目最重要的作用，不是单独“压过”另外三个项目，而是让你从纯 3D CV 走向 VLA 的过渡显得非常自然。</w:t>
      </w:r>
    </w:p>
    <w:p>
      <w:pPr>
        <w:pStyle w:val="Heading1"/>
        <w:spacing w:before="240" w:after="120" w:line="264" w:lineRule="auto"/>
      </w:pPr>
      <w:r>
        <w:rPr>
          <w:rFonts w:ascii="Noto Serif CJK SC" w:hAnsi="Noto Serif CJK SC" w:eastAsia="Noto Serif CJK SC" w:cs="Noto Serif CJK SC"/>
          <w:b/>
          <w:color w:val="1F4E79"/>
          <w:sz w:val="31"/>
        </w:rPr>
        <w:t>3. 升级后的推荐项目名称、短标题与一句话定位</w:t>
      </w:r>
    </w:p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3.1 推荐主标题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3D Structured Spatial Reasoning for Embodied Perception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Relation-Robust 3D Grounding as a Bridge to Embodied Language Systems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Structure-Aware 3D Grounding for Spatially Grounded Embodied Perception</w:t>
      </w:r>
    </w:p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3.2 简历短标题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3D Spatial Grounding for Embodied Perception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Structure-Aware 3D Grounding and Relation Reasoning</w:t>
      </w:r>
    </w:p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3.3 一句话定位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构建一个以对象级 3D 场景表示和显式 target–anchor 关系建模为核心的结构化感知模块，使模型能够从语言中准确 grounding 目标对象、解释依赖的 anchor 选择，并为后续 embodied planner 提供稳定的对象级输入。</w:t>
      </w:r>
    </w:p>
    <w:p>
      <w:pPr>
        <w:pStyle w:val="Heading1"/>
        <w:spacing w:before="240" w:after="120" w:line="264" w:lineRule="auto"/>
      </w:pPr>
      <w:r>
        <w:rPr>
          <w:rFonts w:ascii="Noto Serif CJK SC" w:hAnsi="Noto Serif CJK SC" w:eastAsia="Noto Serif CJK SC" w:cs="Noto Serif CJK SC"/>
          <w:b/>
          <w:color w:val="1F4E79"/>
          <w:sz w:val="31"/>
        </w:rPr>
        <w:t>4. 从原始 proposal 到升级版蓝图：真正要升级的地方是什么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原始 proposal 的优点在于方法很干净：object encoder 负责把每个 3D 实例编码成对象向量，relation-robust grounder 负责把 attribute score 和 relation score 结合起来，InternVL 只做轻量结构化解析，而不是直接代替主模型做目标预测。这种“VLM 仅辅助解析，主模型仍由几何推理主导”的设计非常值得保留。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真正需要升级的地方主要有四个。第一，项目定位要从 benchmark-oriented method 改成 embodied-perception-oriented module。第二，输出不能只有 top-1 目标 id，还应该包括 anchor distribution、关系解释、置信度和 failure tag。第三，评测不能只看 overall Acc@1，还要增加 same-class clutter、relation-heavy subsets、paraphrase stability、anchor confusion 与 calibration。第四，工程产物不能只有报告表格，还要有 scene-level 可视化、anchor 概率图和可以直接截图放在主页上的 qualitative figure。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5F9FD"/>
            <w:tcBorders>
              <w:top w:val="single" w:sz="10" w:space="0" w:color="BFD7EA"/>
              <w:left w:val="single" w:sz="10" w:space="0" w:color="BFD7EA"/>
              <w:bottom w:val="single" w:sz="10" w:space="0" w:color="BFD7EA"/>
              <w:right w:val="single" w:sz="10" w:space="0" w:color="BFD7EA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3"/>
              </w:rPr>
              <w:t>升级后的核心思想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color w:val="222222"/>
                <w:sz w:val="20"/>
              </w:rPr>
              <w:t>不是“换一个更大 backbone 重新刷指标”，而是把 3D grounding 这件事做成一个有清晰输入输出契约、有可解释中间结果、有硬案例分层分析、并且能在未来被 EmbodiedSceneAgent 直接调用的中间模块。</w:t>
            </w:r>
          </w:p>
        </w:tc>
      </w:tr>
    </w:tbl>
    <w:p/>
    <w:p>
      <w:pPr>
        <w:pStyle w:val="Heading1"/>
        <w:spacing w:before="240" w:after="120" w:line="264" w:lineRule="auto"/>
      </w:pPr>
      <w:r>
        <w:rPr>
          <w:rFonts w:ascii="Noto Serif CJK SC" w:hAnsi="Noto Serif CJK SC" w:eastAsia="Noto Serif CJK SC" w:cs="Noto Serif CJK SC"/>
          <w:b/>
          <w:color w:val="1F4E79"/>
          <w:sz w:val="31"/>
        </w:rPr>
        <w:t>5. 核心主张、研究问题与假设</w:t>
      </w:r>
    </w:p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5.1 项目核心主张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相比只做 attribute matching 或仅依赖原始文本 embedding 的 listener，显式建模 target–anchor 关系、把 anchor disambiguation 与 relation evaluation 分开处理，并引入结构化语言解析与硬案例诊断，将显著提升 relation-heavy 场景中的 3D grounding 准确率、same-class clutter 下的稳健性和模型解释性。</w:t>
      </w:r>
    </w:p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5.2 研究问题</w:t>
      </w:r>
    </w:p>
    <w:p>
      <w:pPr>
        <w:pStyle w:val="ListNumber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显式 soft anchor selection 是否能减少“选错参照物”导致的错误？</w:t>
      </w:r>
    </w:p>
    <w:p>
      <w:pPr>
        <w:pStyle w:val="ListNumber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结构化解析得到的 target noun / anchor noun / relation type，是否真的优于直接把整句文本喂给 relation 模块？</w:t>
      </w:r>
    </w:p>
    <w:p>
      <w:pPr>
        <w:pStyle w:val="ListNumber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在 relation-heavy 场景、same-class clutter、遮挡重、表述改写等硬案例上，这种结构化设计是否收益更明显？</w:t>
      </w:r>
    </w:p>
    <w:p>
      <w:pPr>
        <w:pStyle w:val="ListNumber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如果把该模块视为 embodied system 的 perception bridge，它输出的 anchor 分布、置信度和 failure tag 是否具备足够的可解释性与下游可用性？</w:t>
      </w:r>
    </w:p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5.3 可检验假设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H1：在 Sr3D 及 relation-stratified 子集上，结构化 relation reasoning 的收益将高于 Nr3D 或 attribute-dominant 样本。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H2：在同类多实例场景中，soft anchor selection 的收益主要体现为减少 anchor confusion，而不是普遍抬高所有样本的上限。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H3：加入 paraphrase consistency 或 relation-preserving rephrasing 检查后，模型的解释稳定性会优于纯 raw-text relation baseline。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H4：输出 anchor entropy、target margin 和 failure tags 后，模型能形成一套比单一 Acc@1 更适合工程使用的诊断接口。</w:t>
      </w:r>
    </w:p>
    <w:p>
      <w:pPr>
        <w:pStyle w:val="Heading1"/>
        <w:spacing w:before="240" w:after="120" w:line="264" w:lineRule="auto"/>
      </w:pPr>
      <w:r>
        <w:rPr>
          <w:rFonts w:ascii="Noto Serif CJK SC" w:hAnsi="Noto Serif CJK SC" w:eastAsia="Noto Serif CJK SC" w:cs="Noto Serif CJK SC"/>
          <w:b/>
          <w:color w:val="1F4E79"/>
          <w:sz w:val="31"/>
        </w:rPr>
        <w:t>6. 项目边界：做什么，不做什么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474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类别</w:t>
            </w:r>
          </w:p>
        </w:tc>
        <w:tc>
          <w:tcPr>
            <w:tcW w:type="dxa" w:w="3969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本项目要做</w:t>
            </w:r>
          </w:p>
        </w:tc>
        <w:tc>
          <w:tcPr>
            <w:tcW w:type="dxa" w:w="3969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本项目暂时不做</w:t>
            </w:r>
          </w:p>
        </w:tc>
      </w:tr>
      <w:tr>
        <w:tc>
          <w:tcPr>
            <w:tcW w:type="dxa" w:w="147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问题层级</w:t>
            </w:r>
          </w:p>
        </w:tc>
        <w:tc>
          <w:tcPr>
            <w:tcW w:type="dxa" w:w="3969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3D 对象 grounding、空间关系推理、结构化解释输出</w:t>
            </w:r>
          </w:p>
        </w:tc>
        <w:tc>
          <w:tcPr>
            <w:tcW w:type="dxa" w:w="3969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长程任务分解、技能执行、robot control</w:t>
            </w:r>
          </w:p>
        </w:tc>
      </w:tr>
      <w:tr>
        <w:tc>
          <w:tcPr>
            <w:tcW w:type="dxa" w:w="147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模型范式</w:t>
            </w:r>
          </w:p>
        </w:tc>
        <w:tc>
          <w:tcPr>
            <w:tcW w:type="dxa" w:w="3969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3D object encoder + relation reasoner + structured parser</w:t>
            </w:r>
          </w:p>
        </w:tc>
        <w:tc>
          <w:tcPr>
            <w:tcW w:type="dxa" w:w="3969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完整端到端 VLA / diffusion policy</w:t>
            </w:r>
          </w:p>
        </w:tc>
      </w:tr>
      <w:tr>
        <w:tc>
          <w:tcPr>
            <w:tcW w:type="dxa" w:w="147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多模态角色</w:t>
            </w:r>
          </w:p>
        </w:tc>
        <w:tc>
          <w:tcPr>
            <w:tcW w:type="dxa" w:w="3969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VLM 用于轻量结构化解析与可选 paraphrase</w:t>
            </w:r>
          </w:p>
        </w:tc>
        <w:tc>
          <w:tcPr>
            <w:tcW w:type="dxa" w:w="3969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让大模型直接替代 3D 几何推理主干</w:t>
            </w:r>
          </w:p>
        </w:tc>
      </w:tr>
      <w:tr>
        <w:tc>
          <w:tcPr>
            <w:tcW w:type="dxa" w:w="147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评测重点</w:t>
            </w:r>
          </w:p>
        </w:tc>
        <w:tc>
          <w:tcPr>
            <w:tcW w:type="dxa" w:w="3969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relation-heavy/hard-case/generalization/consistency</w:t>
            </w:r>
          </w:p>
        </w:tc>
        <w:tc>
          <w:tcPr>
            <w:tcW w:type="dxa" w:w="3969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大而全的 robot benchmark 闭环成功率</w:t>
            </w:r>
          </w:p>
        </w:tc>
      </w:tr>
      <w:tr>
        <w:tc>
          <w:tcPr>
            <w:tcW w:type="dxa" w:w="147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工程目标</w:t>
            </w:r>
          </w:p>
        </w:tc>
        <w:tc>
          <w:tcPr>
            <w:tcW w:type="dxa" w:w="3969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形成可复用的 3D embodied perception module</w:t>
            </w:r>
          </w:p>
        </w:tc>
        <w:tc>
          <w:tcPr>
            <w:tcW w:type="dxa" w:w="3969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9"/>
              </w:rPr>
              <w:t>复刻另一个 EmbodiedSceneAgent</w:t>
            </w:r>
          </w:p>
        </w:tc>
      </w:tr>
    </w:tbl>
    <w:p/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这个边界控制非常重要。你已经有一个 EmbodiedSceneAgent 去承担“scene memory → planner → verifier → replan”的旗舰叙事，因此 CSC6133 这个项目最合理的角色就是：把 3D 场景里的语言目标解析得足够稳、足够可解释，成为未来 planner 可以信任的上游输入。</w:t>
      </w:r>
    </w:p>
    <w:p>
      <w:pPr>
        <w:pStyle w:val="Heading1"/>
        <w:spacing w:before="240" w:after="120" w:line="264" w:lineRule="auto"/>
      </w:pPr>
      <w:r>
        <w:rPr>
          <w:rFonts w:ascii="Noto Serif CJK SC" w:hAnsi="Noto Serif CJK SC" w:eastAsia="Noto Serif CJK SC" w:cs="Noto Serif CJK SC"/>
          <w:b/>
          <w:color w:val="1F4E79"/>
          <w:sz w:val="31"/>
        </w:rPr>
        <w:t>7. 升级后的系统总架构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建议把系统固定为六段式流水线：Object Set Builder → Object Encoder → Structured Language Parser → Soft Anchor Selector → Relation-Robust Target Scorer → Diagnostics &amp; Visualization。这个架构既保留原 proposal 的核心方法，又把工程职责划分得更清楚。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757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模块</w:t>
            </w:r>
          </w:p>
        </w:tc>
        <w:tc>
          <w:tcPr>
            <w:tcW w:type="dxa" w:w="2324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输入</w:t>
            </w:r>
          </w:p>
        </w:tc>
        <w:tc>
          <w:tcPr>
            <w:tcW w:type="dxa" w:w="2324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输出</w:t>
            </w:r>
          </w:p>
        </w:tc>
        <w:tc>
          <w:tcPr>
            <w:tcW w:type="dxa" w:w="2891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设计重点</w:t>
            </w:r>
          </w:p>
        </w:tc>
      </w:tr>
      <w:tr>
        <w:tc>
          <w:tcPr>
            <w:tcW w:type="dxa" w:w="175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Object Set Builder</w:t>
            </w:r>
          </w:p>
        </w:tc>
        <w:tc>
          <w:tcPr>
            <w:tcW w:type="dxa" w:w="232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ScanNet / ReferIt3D 场景实例</w:t>
            </w:r>
          </w:p>
        </w:tc>
        <w:tc>
          <w:tcPr>
            <w:tcW w:type="dxa" w:w="232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对象列表与几何属性</w:t>
            </w:r>
          </w:p>
        </w:tc>
        <w:tc>
          <w:tcPr>
            <w:tcW w:type="dxa" w:w="289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统一对象 id、中心、尺寸、类别、点云索引</w:t>
            </w:r>
          </w:p>
        </w:tc>
      </w:tr>
      <w:tr>
        <w:tc>
          <w:tcPr>
            <w:tcW w:type="dxa" w:w="175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Object Encoder</w:t>
            </w:r>
          </w:p>
        </w:tc>
        <w:tc>
          <w:tcPr>
            <w:tcW w:type="dxa" w:w="232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点集 + box + optional class</w:t>
            </w:r>
          </w:p>
        </w:tc>
        <w:tc>
          <w:tcPr>
            <w:tcW w:type="dxa" w:w="232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对象 embedding oi</w:t>
            </w:r>
          </w:p>
        </w:tc>
        <w:tc>
          <w:tcPr>
            <w:tcW w:type="dxa" w:w="289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几何与语义联合编码，便于后续关系推理</w:t>
            </w:r>
          </w:p>
        </w:tc>
      </w:tr>
      <w:tr>
        <w:tc>
          <w:tcPr>
            <w:tcW w:type="dxa" w:w="175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Structured Language Parser</w:t>
            </w:r>
          </w:p>
        </w:tc>
        <w:tc>
          <w:tcPr>
            <w:tcW w:type="dxa" w:w="232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referring expression</w:t>
            </w:r>
          </w:p>
        </w:tc>
        <w:tc>
          <w:tcPr>
            <w:tcW w:type="dxa" w:w="232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target / anchor / relation / modifiers</w:t>
            </w:r>
          </w:p>
        </w:tc>
        <w:tc>
          <w:tcPr>
            <w:tcW w:type="dxa" w:w="289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VLM 只做轻量解析，不直接给最终答案</w:t>
            </w:r>
          </w:p>
        </w:tc>
      </w:tr>
      <w:tr>
        <w:tc>
          <w:tcPr>
            <w:tcW w:type="dxa" w:w="175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Soft Anchor Selector</w:t>
            </w:r>
          </w:p>
        </w:tc>
        <w:tc>
          <w:tcPr>
            <w:tcW w:type="dxa" w:w="232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anchor query + object embeddings</w:t>
            </w:r>
          </w:p>
        </w:tc>
        <w:tc>
          <w:tcPr>
            <w:tcW w:type="dxa" w:w="232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anchor distribution p(j|x)</w:t>
            </w:r>
          </w:p>
        </w:tc>
        <w:tc>
          <w:tcPr>
            <w:tcW w:type="dxa" w:w="289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把“找 anchor”与“判 relation”拆开</w:t>
            </w:r>
          </w:p>
        </w:tc>
      </w:tr>
      <w:tr>
        <w:tc>
          <w:tcPr>
            <w:tcW w:type="dxa" w:w="175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Relation-Robust Target Scorer</w:t>
            </w:r>
          </w:p>
        </w:tc>
        <w:tc>
          <w:tcPr>
            <w:tcW w:type="dxa" w:w="232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candidate object i + anchor distribution</w:t>
            </w:r>
          </w:p>
        </w:tc>
        <w:tc>
          <w:tcPr>
            <w:tcW w:type="dxa" w:w="232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target score si</w:t>
            </w:r>
          </w:p>
        </w:tc>
        <w:tc>
          <w:tcPr>
            <w:tcW w:type="dxa" w:w="289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属性分数与关系分数联合建模</w:t>
            </w:r>
          </w:p>
        </w:tc>
      </w:tr>
      <w:tr>
        <w:tc>
          <w:tcPr>
            <w:tcW w:type="dxa" w:w="175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Diagnostics Layer</w:t>
            </w:r>
          </w:p>
        </w:tc>
        <w:tc>
          <w:tcPr>
            <w:tcW w:type="dxa" w:w="232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scores / entropy / gt / prediction</w:t>
            </w:r>
          </w:p>
        </w:tc>
        <w:tc>
          <w:tcPr>
            <w:tcW w:type="dxa" w:w="232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failure tag、可视化、稳定性分析</w:t>
            </w:r>
          </w:p>
        </w:tc>
        <w:tc>
          <w:tcPr>
            <w:tcW w:type="dxa" w:w="289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让项目看起来像系统，不只是一个分数表</w:t>
            </w:r>
          </w:p>
        </w:tc>
      </w:tr>
    </w:tbl>
    <w:p/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7.1 推荐的对象表示 schema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为了让这个项目以后能被 EmbodiedSceneAgent 或其他下游系统接进去，建议从一开始就把对象表示做成统一 schema，而不是训练脚本里临时拼接的 tensor。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object_id：对象唯一标识。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class_name：类别名或 benchmark 提供的语义标签。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center / size：3D box 中心和尺寸。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point_indices 或 sampled_points：对应实例点集。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visibility / occlusion proxy：可选的难例标识。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embedding_cache：预先提取好的对象表征，便于快速实验。</w:t>
      </w:r>
    </w:p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7.2 结构化语言解析应该输出什么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原始 proposal 中已经提出让 InternVL 输出 target noun、anchor noun、relation type 和可选 paraphrases。升级版建议把解析结果固定成一个 JSON schema，这样才能方便调试、统计错误和可视化。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target_head：目标对象中心名词，例如 chair。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target_modifiers：修饰词列表，例如 brown / small / leftmost。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anchor_head：anchor 名词，例如 table。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relation_types：关系类型列表，例如 next-to / left-of / behind。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parser_confidence：解析置信度或一致性标志。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paraphrase_set：用于稳健性检查的小规模关系保持改写。</w:t>
      </w:r>
    </w:p>
    <w:p>
      <w:pPr>
        <w:pStyle w:val="Heading1"/>
        <w:spacing w:before="240" w:after="120" w:line="264" w:lineRule="auto"/>
      </w:pPr>
      <w:r>
        <w:rPr>
          <w:rFonts w:ascii="Noto Serif CJK SC" w:hAnsi="Noto Serif CJK SC" w:eastAsia="Noto Serif CJK SC" w:cs="Noto Serif CJK SC"/>
          <w:b/>
          <w:color w:val="1F4E79"/>
          <w:sz w:val="31"/>
        </w:rPr>
        <w:t>8. 方法设计：如何把原 proposal 做成更强的“bridge module”</w:t>
      </w:r>
    </w:p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8.1 基础版：保留 proposal 的主干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基础版直接沿用 proposal 中最核心的公式化思路：每个候选对象 i 的总分由属性分数 s_attr 和关系分数 s_rel 相加而成；anchor 由 softmax 形成的分布 p(j|x) 进行软选择；relation 模块以 (oi, oj, rij, qrel) 为输入做 relation-aware 打分。这个基础版就足以构成课程项目的主实验线。</w:t>
      </w:r>
    </w:p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8.2 升级点 A：hard-negative aware training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仅靠随机负样本，很容易把训练变成“挑大类不同的对象”。升级版建议在 mini-batch 或 candidate set 中显式强化同类多实例、关系邻近对象和与 anchor 共享局部布局的 hard negatives。这样更符合本项目真正想解决的问题：不是“分辨 chair 和 lamp”，而是“在三个很像的 chair 里选对一个，并且选对参照物”。</w:t>
      </w:r>
    </w:p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8.3 升级点 B：paraphrase consistency / relation-preserving robustness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原始 proposal 已经提到可选 paraphrase stability。升级版建议把这部分从附属分析提升为正式设计：至少在评测端，对同一条 referring expression 构造 2–4 条保持指向不变的改写，比较 target prediction、一致性、anchor 分布漂移和 relation tag 稳定性。这样能突出“结构化解析不是为了炫技，而是为了增强语言表达变化下的稳定性”。</w:t>
      </w:r>
    </w:p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8.4 升级点 C：diagnostic head 与 failure taxonomy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为了让项目具备工程价值，建议增加一层诊断输出，而不是只报最终 target id。可以输出：anchor entropy、top-1 / top-2 target margin、解析失败标记、relation-type mismatch、same-class confusion 和 occlusion risk。这样你在报告和主页上就能展示：“模型为什么错”，而不仅是“模型错了多少”。</w:t>
      </w:r>
    </w:p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8.5 升级点 D：向下游 embodied system 兼容的输出接口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最终推理输出建议设计为：{target_id, anchor_distribution, relation_rationale, confidence, failure_tag}。未来如果 EmbodiedSceneAgent 想用它，只需要读取 grounded object 与置信度，而不必重新理解你的模型内部细节。</w:t>
      </w:r>
    </w:p>
    <w:p>
      <w:pPr>
        <w:pStyle w:val="Heading1"/>
        <w:spacing w:before="240" w:after="120" w:line="264" w:lineRule="auto"/>
      </w:pPr>
      <w:r>
        <w:rPr>
          <w:rFonts w:ascii="Noto Serif CJK SC" w:hAnsi="Noto Serif CJK SC" w:eastAsia="Noto Serif CJK SC" w:cs="Noto Serif CJK SC"/>
          <w:b/>
          <w:color w:val="1F4E79"/>
          <w:sz w:val="31"/>
        </w:rPr>
        <w:t>9. 数据、基准与训练策略</w:t>
      </w:r>
    </w:p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9.1 主基准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主战场仍然应当是 ReferIt3D（Nr3D / Sr3D）及其背后的 ScanNet 场景。这一选择完全合理：一方面 Sr3D 天然强调空间关系，最能检验 anchor-selection 与 relation modeling；另一方面 Nr3D 可以帮助你观察 free-form natural expression 场景下结构化解析的收益边界。</w:t>
      </w:r>
    </w:p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9.2 可选辅助资源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如果 ScanEnts3D 获取顺利，可以把它作为 phrase-to-object 对齐的辅助监督，用来减少 anchor confusion 并提升可解释性；如果资源接入不顺，也完全可以先把主线建立在 ReferIt3D 上，不让辅助数据决定项目成败。</w:t>
      </w:r>
    </w:p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9.3 数据构造原则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优先把 evaluation harness 先搭好，再做训练；因为本项目的核心价值之一就是“硬案例诊断”，评测先行最稳。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所有样本统一整理为 scene_id、utterance、target_id、candidate objects、relation tags、difficulty tags 的结构。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为同类多实例和重遮挡样本额外打标签，方便后续做 stratified evaluation。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保留 parser 输出缓存，避免重复调用 VLM 造成迭代成本过高。</w:t>
      </w:r>
    </w:p>
    <w:p>
      <w:pPr>
        <w:pStyle w:val="Heading1"/>
        <w:spacing w:before="240" w:after="120" w:line="264" w:lineRule="auto"/>
      </w:pPr>
      <w:r>
        <w:rPr>
          <w:rFonts w:ascii="Noto Serif CJK SC" w:hAnsi="Noto Serif CJK SC" w:eastAsia="Noto Serif CJK SC" w:cs="Noto Serif CJK SC"/>
          <w:b/>
          <w:color w:val="1F4E79"/>
          <w:sz w:val="31"/>
        </w:rPr>
        <w:t>10. 实验矩阵：你应该证明什么，而不只是跑什么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531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实验</w:t>
            </w:r>
          </w:p>
        </w:tc>
        <w:tc>
          <w:tcPr>
            <w:tcW w:type="dxa" w:w="2778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对比组</w:t>
            </w:r>
          </w:p>
        </w:tc>
        <w:tc>
          <w:tcPr>
            <w:tcW w:type="dxa" w:w="1984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核心指标</w:t>
            </w:r>
          </w:p>
        </w:tc>
        <w:tc>
          <w:tcPr>
            <w:tcW w:type="dxa" w:w="3458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要证明的结论</w:t>
            </w:r>
          </w:p>
        </w:tc>
      </w:tr>
      <w:tr>
        <w:tc>
          <w:tcPr>
            <w:tcW w:type="dxa" w:w="153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E1：基础效果</w:t>
            </w:r>
          </w:p>
        </w:tc>
        <w:tc>
          <w:tcPr>
            <w:tcW w:type="dxa" w:w="277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Attribute-only / Raw-text relation / Ours</w:t>
            </w:r>
          </w:p>
        </w:tc>
        <w:tc>
          <w:tcPr>
            <w:tcW w:type="dxa" w:w="198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Acc@1, Acc@5</w:t>
            </w:r>
          </w:p>
        </w:tc>
        <w:tc>
          <w:tcPr>
            <w:tcW w:type="dxa" w:w="345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结构化 relation reasoning 不是空包装</w:t>
            </w:r>
          </w:p>
        </w:tc>
      </w:tr>
      <w:tr>
        <w:tc>
          <w:tcPr>
            <w:tcW w:type="dxa" w:w="153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E2：关系子集</w:t>
            </w:r>
          </w:p>
        </w:tc>
        <w:tc>
          <w:tcPr>
            <w:tcW w:type="dxa" w:w="277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按 relation type 分层</w:t>
            </w:r>
          </w:p>
        </w:tc>
        <w:tc>
          <w:tcPr>
            <w:tcW w:type="dxa" w:w="198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Relation-stratified Acc@1</w:t>
            </w:r>
          </w:p>
        </w:tc>
        <w:tc>
          <w:tcPr>
            <w:tcW w:type="dxa" w:w="345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收益主要来自 relation-heavy 场景</w:t>
            </w:r>
          </w:p>
        </w:tc>
      </w:tr>
      <w:tr>
        <w:tc>
          <w:tcPr>
            <w:tcW w:type="dxa" w:w="153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E3：硬案例</w:t>
            </w:r>
          </w:p>
        </w:tc>
        <w:tc>
          <w:tcPr>
            <w:tcW w:type="dxa" w:w="277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same-class clutter / occlusion</w:t>
            </w:r>
          </w:p>
        </w:tc>
        <w:tc>
          <w:tcPr>
            <w:tcW w:type="dxa" w:w="198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Hard-subset Acc@1</w:t>
            </w:r>
          </w:p>
        </w:tc>
        <w:tc>
          <w:tcPr>
            <w:tcW w:type="dxa" w:w="345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真正解决 anchor confusion 而非刷 easy cases</w:t>
            </w:r>
          </w:p>
        </w:tc>
      </w:tr>
      <w:tr>
        <w:tc>
          <w:tcPr>
            <w:tcW w:type="dxa" w:w="153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E4：稳健性</w:t>
            </w:r>
          </w:p>
        </w:tc>
        <w:tc>
          <w:tcPr>
            <w:tcW w:type="dxa" w:w="277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原句 vs paraphrase</w:t>
            </w:r>
          </w:p>
        </w:tc>
        <w:tc>
          <w:tcPr>
            <w:tcW w:type="dxa" w:w="198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Consistency, target stability</w:t>
            </w:r>
          </w:p>
        </w:tc>
        <w:tc>
          <w:tcPr>
            <w:tcW w:type="dxa" w:w="345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结构化解析对表达变化更稳</w:t>
            </w:r>
          </w:p>
        </w:tc>
      </w:tr>
      <w:tr>
        <w:tc>
          <w:tcPr>
            <w:tcW w:type="dxa" w:w="153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E5：解释性</w:t>
            </w:r>
          </w:p>
        </w:tc>
        <w:tc>
          <w:tcPr>
            <w:tcW w:type="dxa" w:w="277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with vs without diagnostics</w:t>
            </w:r>
          </w:p>
        </w:tc>
        <w:tc>
          <w:tcPr>
            <w:tcW w:type="dxa" w:w="198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anchor entropy, margin, failure tags</w:t>
            </w:r>
          </w:p>
        </w:tc>
        <w:tc>
          <w:tcPr>
            <w:tcW w:type="dxa" w:w="345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项目具备工程诊断价值</w:t>
            </w:r>
          </w:p>
        </w:tc>
      </w:tr>
    </w:tbl>
    <w:p/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10.1 最低必须有的 baseline</w:t>
      </w:r>
    </w:p>
    <w:p>
      <w:pPr>
        <w:pStyle w:val="ListNumber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Attribute-only listener：只有目标属性，不用关系推理。</w:t>
      </w:r>
    </w:p>
    <w:p>
      <w:pPr>
        <w:pStyle w:val="ListNumber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Raw-text relation model：有关系模块，但关系输入不做结构化解析，只用整句文本。</w:t>
      </w:r>
    </w:p>
    <w:p>
      <w:pPr>
        <w:pStyle w:val="ListNumber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Ours-base：结构化 target/anchor/relation + soft anchor selection。</w:t>
      </w:r>
    </w:p>
    <w:p>
      <w:pPr>
        <w:pStyle w:val="ListNumber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Ours+robustness（可选）：加上 paraphrase consistency 或 hard-negative 强化。</w:t>
      </w:r>
    </w:p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10.2 推荐指标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Overall：Acc@1、Acc@5。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Relations：按 left/right/front/behind/next-to/between 等关系类型分层的 Acc@1。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Hard cases：same-class clutter、occlusion-heavy、anchor-confusion-sensitive subsets。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Robustness：paraphrase stability、prediction consistency、anchor distribution drift。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Diagnostics：anchor entropy、target margin、failure taxonomy 分布。</w:t>
      </w:r>
    </w:p>
    <w:p>
      <w:pPr>
        <w:pStyle w:val="Heading1"/>
        <w:spacing w:before="240" w:after="120" w:line="264" w:lineRule="auto"/>
      </w:pPr>
      <w:r>
        <w:rPr>
          <w:rFonts w:ascii="Noto Serif CJK SC" w:hAnsi="Noto Serif CJK SC" w:eastAsia="Noto Serif CJK SC" w:cs="Noto Serif CJK SC"/>
          <w:b/>
          <w:color w:val="1F4E79"/>
          <w:sz w:val="31"/>
        </w:rPr>
        <w:t>11. 计算资源与工程策略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这个项目的算力要求明显低于 EmbodiedSceneAgent 和 7B 级 VLM post-training，因此你应该把它设计成“3090 可完成大部分开发，A100 只负责必要的正式实验或更稳妥的 parser / encoder 推理”的项目。否则它会和你另外两个更重的项目竞争资源。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247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资源</w:t>
            </w:r>
          </w:p>
        </w:tc>
        <w:tc>
          <w:tcPr>
            <w:tcW w:type="dxa" w:w="3231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建议承担工作</w:t>
            </w:r>
          </w:p>
        </w:tc>
        <w:tc>
          <w:tcPr>
            <w:tcW w:type="dxa" w:w="2324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不建议承担</w:t>
            </w:r>
          </w:p>
        </w:tc>
        <w:tc>
          <w:tcPr>
            <w:tcW w:type="dxa" w:w="2835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原因</w:t>
            </w:r>
          </w:p>
        </w:tc>
      </w:tr>
      <w:tr>
        <w:tc>
          <w:tcPr>
            <w:tcW w:type="dxa" w:w="124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3090 24G</w:t>
            </w:r>
          </w:p>
        </w:tc>
        <w:tc>
          <w:tcPr>
            <w:tcW w:type="dxa" w:w="323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数据预处理、baseline 训练、relation module 调试、评测与可视化</w:t>
            </w:r>
          </w:p>
        </w:tc>
        <w:tc>
          <w:tcPr>
            <w:tcW w:type="dxa" w:w="232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无必要的超大模型全量微调</w:t>
            </w:r>
          </w:p>
        </w:tc>
        <w:tc>
          <w:tcPr>
            <w:tcW w:type="dxa" w:w="2835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这是一个结构化 3D 推理项目，不该被大模型训练成本绑架</w:t>
            </w:r>
          </w:p>
        </w:tc>
      </w:tr>
      <w:tr>
        <w:tc>
          <w:tcPr>
            <w:tcW w:type="dxa" w:w="124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A100 80G</w:t>
            </w:r>
          </w:p>
        </w:tc>
        <w:tc>
          <w:tcPr>
            <w:tcW w:type="dxa" w:w="323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必要时跑更稳的 parser 批量解析、正式多 seed 评测、较重 backbone 对比</w:t>
            </w:r>
          </w:p>
        </w:tc>
        <w:tc>
          <w:tcPr>
            <w:tcW w:type="dxa" w:w="232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日常零碎 debug</w:t>
            </w:r>
          </w:p>
        </w:tc>
        <w:tc>
          <w:tcPr>
            <w:tcW w:type="dxa" w:w="2835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A100 应优先给你更重的旗舰项目和最终结果产出</w:t>
            </w:r>
          </w:p>
        </w:tc>
      </w:tr>
    </w:tbl>
    <w:p/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11.1 推荐仓库结构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建议仓库名字不要再叫成一个非常窄的 benchmark 名，可以更偏“模块型”命名，例如 SpatialGround3D、RelGround3D 或 Structured3DGrounding。目录设计上要突出：数据、模型、评测、分析、可视化五大层。</w:t>
      </w:r>
    </w:p>
    <w:p>
      <w:pPr>
        <w:spacing w:before="0" w:after="120" w:line="264" w:lineRule="auto"/>
      </w:pPr>
      <w:r>
        <w:rPr>
          <w:rFonts w:ascii="DejaVu Sans Mono" w:hAnsi="DejaVu Sans Mono" w:eastAsia="DejaVu Sans Mono" w:cs="DejaVu Sans Mono"/>
          <w:color w:val="222222"/>
          <w:sz w:val="18"/>
        </w:rPr>
        <w:t>project_root/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├── README.md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├── pyproject.toml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├── configs/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├── dataset/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├── model/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├── train/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└── eval/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├── data/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├── raw/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├── processed/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├── parser_cache/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└── hard_cases/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├── src/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├── datasets/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├── encoders/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├── parsers/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├── relation_reasoner/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├── diagnostics/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├── evaluation/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└── visualization/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├── scripts/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├── prepare_data.sh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├── run_baselines.sh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├── train_main.sh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├── eval_all.sh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│   └── make_figures.sh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>└── outputs/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 xml:space="preserve">    ├── checkpoints/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 xml:space="preserve">    ├── metrics/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 xml:space="preserve">    ├── case_studies/</w:t>
        <w:br/>
      </w:r>
      <w:r>
        <w:rPr>
          <w:rFonts w:ascii="DejaVu Sans Mono" w:hAnsi="DejaVu Sans Mono" w:eastAsia="DejaVu Sans Mono" w:cs="DejaVu Sans Mono"/>
          <w:color w:val="222222"/>
          <w:sz w:val="18"/>
        </w:rPr>
        <w:t xml:space="preserve">    └── figures/</w:t>
      </w:r>
    </w:p>
    <w:p>
      <w:r>
        <w:br w:type="page"/>
      </w:r>
    </w:p>
    <w:p>
      <w:pPr>
        <w:pStyle w:val="Heading1"/>
        <w:spacing w:before="240" w:after="120" w:line="264" w:lineRule="auto"/>
      </w:pPr>
      <w:r>
        <w:rPr>
          <w:rFonts w:ascii="Noto Serif CJK SC" w:hAnsi="Noto Serif CJK SC" w:eastAsia="Noto Serif CJK SC" w:cs="Noto Serif CJK SC"/>
          <w:b/>
          <w:color w:val="1F4E79"/>
          <w:sz w:val="31"/>
        </w:rPr>
        <w:t>12. 分阶段实施计划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077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阶段</w:t>
            </w:r>
          </w:p>
        </w:tc>
        <w:tc>
          <w:tcPr>
            <w:tcW w:type="dxa" w:w="1247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时间</w:t>
            </w:r>
          </w:p>
        </w:tc>
        <w:tc>
          <w:tcPr>
            <w:tcW w:type="dxa" w:w="2098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核心目标</w:t>
            </w:r>
          </w:p>
        </w:tc>
        <w:tc>
          <w:tcPr>
            <w:tcW w:type="dxa" w:w="2438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关键输出</w:t>
            </w:r>
          </w:p>
        </w:tc>
        <w:tc>
          <w:tcPr>
            <w:tcW w:type="dxa" w:w="2891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验收标准</w:t>
            </w:r>
          </w:p>
        </w:tc>
      </w:tr>
      <w:tr>
        <w:tc>
          <w:tcPr>
            <w:tcW w:type="dxa" w:w="107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Phase 0</w:t>
            </w:r>
          </w:p>
        </w:tc>
        <w:tc>
          <w:tcPr>
            <w:tcW w:type="dxa" w:w="124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Day 1–3</w:t>
            </w:r>
          </w:p>
        </w:tc>
        <w:tc>
          <w:tcPr>
            <w:tcW w:type="dxa" w:w="209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数据与评测打通</w:t>
            </w:r>
          </w:p>
        </w:tc>
        <w:tc>
          <w:tcPr>
            <w:tcW w:type="dxa" w:w="243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ReferIt3D loader + evaluator + baseline 框架</w:t>
            </w:r>
          </w:p>
        </w:tc>
        <w:tc>
          <w:tcPr>
            <w:tcW w:type="dxa" w:w="289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能在少量样本上跑通 end-to-end 评测</w:t>
            </w:r>
          </w:p>
        </w:tc>
      </w:tr>
      <w:tr>
        <w:tc>
          <w:tcPr>
            <w:tcW w:type="dxa" w:w="107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Phase 1</w:t>
            </w:r>
          </w:p>
        </w:tc>
        <w:tc>
          <w:tcPr>
            <w:tcW w:type="dxa" w:w="124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Day 4–8</w:t>
            </w:r>
          </w:p>
        </w:tc>
        <w:tc>
          <w:tcPr>
            <w:tcW w:type="dxa" w:w="209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基础 baseline 建立</w:t>
            </w:r>
          </w:p>
        </w:tc>
        <w:tc>
          <w:tcPr>
            <w:tcW w:type="dxa" w:w="243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Attribute-only 与 raw-text relation baseline</w:t>
            </w:r>
          </w:p>
        </w:tc>
        <w:tc>
          <w:tcPr>
            <w:tcW w:type="dxa" w:w="289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拿到第一张总体结果表</w:t>
            </w:r>
          </w:p>
        </w:tc>
      </w:tr>
      <w:tr>
        <w:tc>
          <w:tcPr>
            <w:tcW w:type="dxa" w:w="107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Phase 2</w:t>
            </w:r>
          </w:p>
        </w:tc>
        <w:tc>
          <w:tcPr>
            <w:tcW w:type="dxa" w:w="124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Day 9–14</w:t>
            </w:r>
          </w:p>
        </w:tc>
        <w:tc>
          <w:tcPr>
            <w:tcW w:type="dxa" w:w="209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实现结构化解析 + soft anchor</w:t>
            </w:r>
          </w:p>
        </w:tc>
        <w:tc>
          <w:tcPr>
            <w:tcW w:type="dxa" w:w="243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Ours-base 模型</w:t>
            </w:r>
          </w:p>
        </w:tc>
        <w:tc>
          <w:tcPr>
            <w:tcW w:type="dxa" w:w="289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Sr3D / relation-heavy 子集上出现可见增益</w:t>
            </w:r>
          </w:p>
        </w:tc>
      </w:tr>
      <w:tr>
        <w:tc>
          <w:tcPr>
            <w:tcW w:type="dxa" w:w="107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Phase 3</w:t>
            </w:r>
          </w:p>
        </w:tc>
        <w:tc>
          <w:tcPr>
            <w:tcW w:type="dxa" w:w="124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Day 15–20</w:t>
            </w:r>
          </w:p>
        </w:tc>
        <w:tc>
          <w:tcPr>
            <w:tcW w:type="dxa" w:w="209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加入 robust 分析与 diagnostics</w:t>
            </w:r>
          </w:p>
        </w:tc>
        <w:tc>
          <w:tcPr>
            <w:tcW w:type="dxa" w:w="243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paraphrase/ hard-case/ failure taxonomy</w:t>
            </w:r>
          </w:p>
        </w:tc>
        <w:tc>
          <w:tcPr>
            <w:tcW w:type="dxa" w:w="289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报告中已有硬案例章节</w:t>
            </w:r>
          </w:p>
        </w:tc>
      </w:tr>
      <w:tr>
        <w:tc>
          <w:tcPr>
            <w:tcW w:type="dxa" w:w="107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Phase 4</w:t>
            </w:r>
          </w:p>
        </w:tc>
        <w:tc>
          <w:tcPr>
            <w:tcW w:type="dxa" w:w="124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Day 21–28</w:t>
            </w:r>
          </w:p>
        </w:tc>
        <w:tc>
          <w:tcPr>
            <w:tcW w:type="dxa" w:w="209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多 seed、图表、README 与报告包装</w:t>
            </w:r>
          </w:p>
        </w:tc>
        <w:tc>
          <w:tcPr>
            <w:tcW w:type="dxa" w:w="243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最终表格、案例图、项目页素材</w:t>
            </w:r>
          </w:p>
        </w:tc>
        <w:tc>
          <w:tcPr>
            <w:tcW w:type="dxa" w:w="2891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课程提交版与简历包装版同时完成</w:t>
            </w:r>
          </w:p>
        </w:tc>
      </w:tr>
    </w:tbl>
    <w:p/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12.1 第一周即可执行的任务清单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020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优先级</w:t>
            </w:r>
          </w:p>
        </w:tc>
        <w:tc>
          <w:tcPr>
            <w:tcW w:type="dxa" w:w="4139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任务</w:t>
            </w:r>
          </w:p>
        </w:tc>
        <w:tc>
          <w:tcPr>
            <w:tcW w:type="dxa" w:w="2665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完成标志</w:t>
            </w:r>
          </w:p>
        </w:tc>
        <w:tc>
          <w:tcPr>
            <w:tcW w:type="dxa" w:w="1417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建议设备</w:t>
            </w:r>
          </w:p>
        </w:tc>
      </w:tr>
      <w:tr>
        <w:tc>
          <w:tcPr>
            <w:tcW w:type="dxa" w:w="1020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P0</w:t>
            </w:r>
          </w:p>
        </w:tc>
        <w:tc>
          <w:tcPr>
            <w:tcW w:type="dxa" w:w="4139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整理 ReferIt3D / ScanNet 数据路径与样本结构</w:t>
            </w:r>
          </w:p>
        </w:tc>
        <w:tc>
          <w:tcPr>
            <w:tcW w:type="dxa" w:w="2665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能正确读取 scene、utterance、target</w:t>
            </w:r>
          </w:p>
        </w:tc>
        <w:tc>
          <w:tcPr>
            <w:tcW w:type="dxa" w:w="141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3090</w:t>
            </w:r>
          </w:p>
        </w:tc>
      </w:tr>
      <w:tr>
        <w:tc>
          <w:tcPr>
            <w:tcW w:type="dxa" w:w="1020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P0</w:t>
            </w:r>
          </w:p>
        </w:tc>
        <w:tc>
          <w:tcPr>
            <w:tcW w:type="dxa" w:w="4139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先写 evaluator，不先写复杂模型</w:t>
            </w:r>
          </w:p>
        </w:tc>
        <w:tc>
          <w:tcPr>
            <w:tcW w:type="dxa" w:w="2665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Acc@1 / Acc@5 / stratified eval 已可用</w:t>
            </w:r>
          </w:p>
        </w:tc>
        <w:tc>
          <w:tcPr>
            <w:tcW w:type="dxa" w:w="141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3090</w:t>
            </w:r>
          </w:p>
        </w:tc>
      </w:tr>
      <w:tr>
        <w:tc>
          <w:tcPr>
            <w:tcW w:type="dxa" w:w="1020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P0</w:t>
            </w:r>
          </w:p>
        </w:tc>
        <w:tc>
          <w:tcPr>
            <w:tcW w:type="dxa" w:w="4139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实现 attribute-only baseline</w:t>
            </w:r>
          </w:p>
        </w:tc>
        <w:tc>
          <w:tcPr>
            <w:tcW w:type="dxa" w:w="2665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拿到第一条 baseline 数字</w:t>
            </w:r>
          </w:p>
        </w:tc>
        <w:tc>
          <w:tcPr>
            <w:tcW w:type="dxa" w:w="141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3090</w:t>
            </w:r>
          </w:p>
        </w:tc>
      </w:tr>
      <w:tr>
        <w:tc>
          <w:tcPr>
            <w:tcW w:type="dxa" w:w="1020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P1</w:t>
            </w:r>
          </w:p>
        </w:tc>
        <w:tc>
          <w:tcPr>
            <w:tcW w:type="dxa" w:w="4139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实现 parser cache 机制</w:t>
            </w:r>
          </w:p>
        </w:tc>
        <w:tc>
          <w:tcPr>
            <w:tcW w:type="dxa" w:w="2665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同一句子不会重复调用 VLM</w:t>
            </w:r>
          </w:p>
        </w:tc>
        <w:tc>
          <w:tcPr>
            <w:tcW w:type="dxa" w:w="141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3090</w:t>
            </w:r>
          </w:p>
        </w:tc>
      </w:tr>
      <w:tr>
        <w:tc>
          <w:tcPr>
            <w:tcW w:type="dxa" w:w="1020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P1</w:t>
            </w:r>
          </w:p>
        </w:tc>
        <w:tc>
          <w:tcPr>
            <w:tcW w:type="dxa" w:w="4139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实现 soft anchor selector</w:t>
            </w:r>
          </w:p>
        </w:tc>
        <w:tc>
          <w:tcPr>
            <w:tcW w:type="dxa" w:w="2665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能输出 anchor distribution</w:t>
            </w:r>
          </w:p>
        </w:tc>
        <w:tc>
          <w:tcPr>
            <w:tcW w:type="dxa" w:w="141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3090</w:t>
            </w:r>
          </w:p>
        </w:tc>
      </w:tr>
      <w:tr>
        <w:tc>
          <w:tcPr>
            <w:tcW w:type="dxa" w:w="1020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P2</w:t>
            </w:r>
          </w:p>
        </w:tc>
        <w:tc>
          <w:tcPr>
            <w:tcW w:type="dxa" w:w="4139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做 5–10 个可视化案例模板</w:t>
            </w:r>
          </w:p>
        </w:tc>
        <w:tc>
          <w:tcPr>
            <w:tcW w:type="dxa" w:w="2665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可直接插入 README / 报告</w:t>
            </w:r>
          </w:p>
        </w:tc>
        <w:tc>
          <w:tcPr>
            <w:tcW w:type="dxa" w:w="141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3090</w:t>
            </w:r>
          </w:p>
        </w:tc>
      </w:tr>
    </w:tbl>
    <w:p/>
    <w:p>
      <w:pPr>
        <w:pStyle w:val="Heading1"/>
        <w:spacing w:before="240" w:after="120" w:line="264" w:lineRule="auto"/>
      </w:pPr>
      <w:r>
        <w:rPr>
          <w:rFonts w:ascii="Noto Serif CJK SC" w:hAnsi="Noto Serif CJK SC" w:eastAsia="Noto Serif CJK SC" w:cs="Noto Serif CJK SC"/>
          <w:b/>
          <w:color w:val="1F4E79"/>
          <w:sz w:val="31"/>
        </w:rPr>
        <w:t>13. 风险点与应对策略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587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风险</w:t>
            </w:r>
          </w:p>
        </w:tc>
        <w:tc>
          <w:tcPr>
            <w:tcW w:type="dxa" w:w="2098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表现形式</w:t>
            </w:r>
          </w:p>
        </w:tc>
        <w:tc>
          <w:tcPr>
            <w:tcW w:type="dxa" w:w="1814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根因</w:t>
            </w:r>
          </w:p>
        </w:tc>
        <w:tc>
          <w:tcPr>
            <w:tcW w:type="dxa" w:w="3572"/>
            <w:shd w:val="clear" w:color="auto" w:fill="DCEAF7"/>
            <w:tcBorders>
              <w:top w:val="single" w:sz="8" w:space="0" w:color="BFD7EA"/>
              <w:left w:val="single" w:sz="8" w:space="0" w:color="BFD7EA"/>
              <w:bottom w:val="single" w:sz="8" w:space="0" w:color="BFD7EA"/>
              <w:right w:val="single" w:sz="8" w:space="0" w:color="BFD7EA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</w:rPr>
              <w:t>应对策略</w:t>
            </w:r>
          </w:p>
        </w:tc>
      </w:tr>
      <w:tr>
        <w:tc>
          <w:tcPr>
            <w:tcW w:type="dxa" w:w="158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项目又窄又弱</w:t>
            </w:r>
          </w:p>
        </w:tc>
        <w:tc>
          <w:tcPr>
            <w:tcW w:type="dxa" w:w="209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最后只有一个小改模结果</w:t>
            </w:r>
          </w:p>
        </w:tc>
        <w:tc>
          <w:tcPr>
            <w:tcW w:type="dxa" w:w="181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只盯 overall Acc@1</w:t>
            </w:r>
          </w:p>
        </w:tc>
        <w:tc>
          <w:tcPr>
            <w:tcW w:type="dxa" w:w="3572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把 hard-case、consistency、diagnostics 提前纳入主线</w:t>
            </w:r>
          </w:p>
        </w:tc>
      </w:tr>
      <w:tr>
        <w:tc>
          <w:tcPr>
            <w:tcW w:type="dxa" w:w="158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和 EmbodiedSceneAgent 重叠</w:t>
            </w:r>
          </w:p>
        </w:tc>
        <w:tc>
          <w:tcPr>
            <w:tcW w:type="dxa" w:w="209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忍不住加 planner / executor</w:t>
            </w:r>
          </w:p>
        </w:tc>
        <w:tc>
          <w:tcPr>
            <w:tcW w:type="dxa" w:w="181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边界意识不强</w:t>
            </w:r>
          </w:p>
        </w:tc>
        <w:tc>
          <w:tcPr>
            <w:tcW w:type="dxa" w:w="3572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坚持 perception bridge 定位，不做闭环 planning</w:t>
            </w:r>
          </w:p>
        </w:tc>
      </w:tr>
      <w:tr>
        <w:tc>
          <w:tcPr>
            <w:tcW w:type="dxa" w:w="158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VLM 解析噪声大</w:t>
            </w:r>
          </w:p>
        </w:tc>
        <w:tc>
          <w:tcPr>
            <w:tcW w:type="dxa" w:w="209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错误 relation type 传染到主模型</w:t>
            </w:r>
          </w:p>
        </w:tc>
        <w:tc>
          <w:tcPr>
            <w:tcW w:type="dxa" w:w="181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parser 不稳定</w:t>
            </w:r>
          </w:p>
        </w:tc>
        <w:tc>
          <w:tcPr>
            <w:tcW w:type="dxa" w:w="3572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缓存 + 规则 fallback + heuristic ablation</w:t>
            </w:r>
          </w:p>
        </w:tc>
      </w:tr>
      <w:tr>
        <w:tc>
          <w:tcPr>
            <w:tcW w:type="dxa" w:w="158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时间被数据处理吞掉</w:t>
            </w:r>
          </w:p>
        </w:tc>
        <w:tc>
          <w:tcPr>
            <w:tcW w:type="dxa" w:w="209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模型迟迟跑不起来</w:t>
            </w:r>
          </w:p>
        </w:tc>
        <w:tc>
          <w:tcPr>
            <w:tcW w:type="dxa" w:w="181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评测与预处理没有前置</w:t>
            </w:r>
          </w:p>
        </w:tc>
        <w:tc>
          <w:tcPr>
            <w:tcW w:type="dxa" w:w="3572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先写 evaluator，再做训练</w:t>
            </w:r>
          </w:p>
        </w:tc>
      </w:tr>
      <w:tr>
        <w:tc>
          <w:tcPr>
            <w:tcW w:type="dxa" w:w="1587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shd w:val="clear" w:color="auto" w:fill="F7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做成“课程作业味太重”</w:t>
            </w:r>
          </w:p>
        </w:tc>
        <w:tc>
          <w:tcPr>
            <w:tcW w:type="dxa" w:w="2098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有实验但没有工程包装</w:t>
            </w:r>
          </w:p>
        </w:tc>
        <w:tc>
          <w:tcPr>
            <w:tcW w:type="dxa" w:w="1814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可视化与 README 太晚做</w:t>
            </w:r>
          </w:p>
        </w:tc>
        <w:tc>
          <w:tcPr>
            <w:tcW w:type="dxa" w:w="3572"/>
            <w:tcBorders>
              <w:top w:val="single" w:sz="6" w:space="0" w:color="D9E4EE"/>
              <w:left w:val="single" w:sz="6" w:space="0" w:color="D9E4EE"/>
              <w:bottom w:val="single" w:sz="6" w:space="0" w:color="D9E4EE"/>
              <w:right w:val="single" w:sz="6" w:space="0" w:color="D9E4EE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color w:val="222222"/>
                <w:sz w:val="18"/>
              </w:rPr>
              <w:t>从第一阶段开始累积案例图和失败分析</w:t>
            </w:r>
          </w:p>
        </w:tc>
      </w:tr>
    </w:tbl>
    <w:p/>
    <w:p>
      <w:pPr>
        <w:pStyle w:val="Heading1"/>
        <w:spacing w:before="240" w:after="120" w:line="264" w:lineRule="auto"/>
      </w:pPr>
      <w:r>
        <w:rPr>
          <w:rFonts w:ascii="Noto Serif CJK SC" w:hAnsi="Noto Serif CJK SC" w:eastAsia="Noto Serif CJK SC" w:cs="Noto Serif CJK SC"/>
          <w:b/>
          <w:color w:val="1F4E79"/>
          <w:sz w:val="31"/>
        </w:rPr>
        <w:t>14. 课程交付物、主页展示物与简历表述应该分别长什么样</w:t>
      </w:r>
    </w:p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14.1 课程交付物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4–8 页 research-style technical report，重点讲 relation-robust design、hard-case gain 与 error analysis。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10–15 分钟 presentation，强调问题为什么非平凡、为什么你的模块不是“再做一个 listener baseline”。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可复现代码：loader、baseline、main model、evaluation harness、case-study visualizer。</w:t>
      </w:r>
    </w:p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14.2 GitHub / 主页展示物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一张总览图：Language → Structured Parse → Soft Anchor → Relation Scoring → Diagnostics。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两张最强图：same-class clutter 成功案例；anchor confusion 被纠正的前后对比。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一个 failure taxonomy 图：模型主要错在哪里。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一个 metrics 表：总体、关系分层、硬案例、稳健性。</w:t>
      </w:r>
    </w:p>
    <w:p>
      <w:pPr>
        <w:pStyle w:val="Heading2"/>
        <w:spacing w:before="200" w:after="80" w:line="264" w:lineRule="auto"/>
      </w:pPr>
      <w:r>
        <w:rPr>
          <w:rFonts w:ascii="Noto Sans CJK SC" w:hAnsi="Noto Sans CJK SC" w:eastAsia="Noto Sans CJK SC" w:cs="Noto Sans CJK SC"/>
          <w:b/>
          <w:color w:val="0F6CA8"/>
          <w:sz w:val="25"/>
        </w:rPr>
        <w:t>14.3 简历推荐表述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Built a structure-aware 3D grounding module for embodied perception, combining object-centric geometric encoding, soft anchor selection, and explicit target–anchor relation reasoning on ReferIt3D/ScanNet.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Designed a diagnostic evaluation suite covering relation-stratified accuracy, same-class clutter, paraphrase stability, and anchor-confusion analysis instead of relying on overall Acc@1 alone.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Packaged the system as an interpretable perception bridge for downstream embodied planning, exposing grounded targets, anchor distributions, confidence signals, and failure tags.</w:t>
      </w:r>
    </w:p>
    <w:p>
      <w:pPr>
        <w:pStyle w:val="Heading1"/>
        <w:spacing w:before="240" w:after="120" w:line="264" w:lineRule="auto"/>
      </w:pPr>
      <w:r>
        <w:rPr>
          <w:rFonts w:ascii="Noto Serif CJK SC" w:hAnsi="Noto Serif CJK SC" w:eastAsia="Noto Serif CJK SC" w:cs="Noto Serif CJK SC"/>
          <w:b/>
          <w:color w:val="1F4E79"/>
          <w:sz w:val="31"/>
        </w:rPr>
        <w:t>15. 这个项目如何接到你的整体研究路线里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这是整份升级蓝图最关键的叙事部分。你不能让面试官以为你在“3D 视觉、代码大模型、GUI agent、机器人规划”之间随意跳跃。正确的表述是：你早期的核心能力来自 3D 视觉与几何理解；GUI grounding 项目证明你也能处理 instruction-conditioned multimodal grounding；这个 CSC6133 项目则把“语言 → 目标对象 → 空间关系 → 解释输出”在 3D 场景中做扎实；最后 EmbodiedSceneAgent 进一步把这些对象级理解接入到长程 planning 与 verification。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F5F9FD"/>
            <w:tcBorders>
              <w:top w:val="single" w:sz="10" w:space="0" w:color="BFD7EA"/>
              <w:left w:val="single" w:sz="10" w:space="0" w:color="BFD7EA"/>
              <w:bottom w:val="single" w:sz="10" w:space="0" w:color="BFD7EA"/>
              <w:right w:val="single" w:sz="10" w:space="0" w:color="BFD7EA"/>
            </w:tcBorders>
            <w:vAlign w:val="center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3"/>
              </w:rPr>
              <w:t>一句面试中的连线话术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color w:val="222222"/>
                <w:sz w:val="20"/>
              </w:rPr>
              <w:t>我的 portfolio 不是四个互不相干的小作业。它们分别对应 foundation model post-training、screen-grounded agent perception、3D structured spatial grounding，以及 embodied planning。这个 CSC6133 项目专门承担 3D perception bridge 的角色，解决的是 planner 之前那一步最关键的对象级语言 grounding。</w:t>
            </w:r>
          </w:p>
        </w:tc>
      </w:tr>
    </w:tbl>
    <w:p/>
    <w:p>
      <w:pPr>
        <w:pStyle w:val="Heading1"/>
        <w:spacing w:before="240" w:after="120" w:line="264" w:lineRule="auto"/>
      </w:pPr>
      <w:r>
        <w:rPr>
          <w:rFonts w:ascii="Noto Serif CJK SC" w:hAnsi="Noto Serif CJK SC" w:eastAsia="Noto Serif CJK SC" w:cs="Noto Serif CJK SC"/>
          <w:b/>
          <w:color w:val="1F4E79"/>
          <w:sz w:val="31"/>
        </w:rPr>
        <w:t>16. 最推荐的实际执行顺序</w:t>
      </w:r>
    </w:p>
    <w:p>
      <w:pPr>
        <w:pStyle w:val="ListNumber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先把 evaluator 写出来，并把 overall / relation-stratified / hard-case metrics 跑通。</w:t>
      </w:r>
    </w:p>
    <w:p>
      <w:pPr>
        <w:pStyle w:val="ListNumber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做 attribute-only baseline，确保项目有最小可运行版本。</w:t>
      </w:r>
    </w:p>
    <w:p>
      <w:pPr>
        <w:pStyle w:val="ListNumber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接入 structured parser，并先缓存解析结果，不要一开始就做在线调用。</w:t>
      </w:r>
    </w:p>
    <w:p>
      <w:pPr>
        <w:pStyle w:val="ListNumber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实现 soft anchor selector 与 relation scorer，拿到主结果。</w:t>
      </w:r>
    </w:p>
    <w:p>
      <w:pPr>
        <w:pStyle w:val="ListNumber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补 same-class clutter、paraphrase stability、failure taxonomy。</w:t>
      </w:r>
    </w:p>
    <w:p>
      <w:pPr>
        <w:pStyle w:val="ListNumber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最后再做最耗时间的 README 美化、图表、项目页包装；但案例截图和日志从第一天就持续积累。</w:t>
      </w:r>
    </w:p>
    <w:p>
      <w:pPr>
        <w:pStyle w:val="Heading1"/>
        <w:spacing w:before="240" w:after="120" w:line="264" w:lineRule="auto"/>
      </w:pPr>
      <w:r>
        <w:rPr>
          <w:rFonts w:ascii="Noto Serif CJK SC" w:hAnsi="Noto Serif CJK SC" w:eastAsia="Noto Serif CJK SC" w:cs="Noto Serif CJK SC"/>
          <w:b/>
          <w:color w:val="1F4E79"/>
          <w:sz w:val="31"/>
        </w:rPr>
        <w:t>17. 最终结论：这个项目升级后在你的 portfolio 中扮演什么角色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升级后的版本不是“第四个看起来也像大模型微调的项目”，而是你整个路线里不可替代的一环。它负责回答一个非常明确的问题：当语言里出现相对位置、参照物和多实例歧义时，系统如何在 3D 场景中稳定、可解释地选出正确对象。这个问题本身足够研究化，也足够工程化，而且恰好与多模态大模型和具身智能岗位都保持强相关。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/>
          <w:b w:val="0"/>
          <w:color w:val="222222"/>
          <w:sz w:val="21"/>
        </w:rPr>
        <w:t>因此，最好的做法不是把它继续扩成另一个宏大的 embodied 平台，而是把它做成一个干净、扎实、解释性强、hard-case 分析到位的 bridge project。只要你把关系建模、诊断分析和项目包装做扎实，它完全值得放在简历里，而且会与另外三个项目形成非常漂亮的互补。</w:t>
      </w:r>
    </w:p>
    <w:p>
      <w:pPr>
        <w:pStyle w:val="Heading1"/>
        <w:spacing w:before="240" w:after="120" w:line="264" w:lineRule="auto"/>
      </w:pPr>
      <w:r>
        <w:rPr>
          <w:rFonts w:ascii="Noto Serif CJK SC" w:hAnsi="Noto Serif CJK SC" w:eastAsia="Noto Serif CJK SC" w:cs="Noto Serif CJK SC"/>
          <w:b/>
          <w:color w:val="1F4E79"/>
          <w:sz w:val="31"/>
        </w:rPr>
        <w:t>附录 A：推荐 issue / kanban 拆解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Issue 1：数据读取与 sample schema 统一。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Issue 2：整体 evaluator 与 stratified metrics。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Issue 3：attribute-only baseline。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Issue 4：raw-text relation baseline。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Issue 5：parser cache + structured JSON schema。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Issue 6：soft anchor selector。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Issue 7：relation scorer。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Issue 8：hard negative mining / sample tagging。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Issue 9：paraphrase stability evaluator。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Issue 10：diagnostics + failure taxonomy + visualization。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Issue 11：README / report figures / homepage packaging。</w:t>
      </w:r>
    </w:p>
    <w:p>
      <w:pPr>
        <w:pStyle w:val="Heading1"/>
        <w:spacing w:before="240" w:after="120" w:line="264" w:lineRule="auto"/>
      </w:pPr>
      <w:r>
        <w:rPr>
          <w:rFonts w:ascii="Noto Serif CJK SC" w:hAnsi="Noto Serif CJK SC" w:eastAsia="Noto Serif CJK SC" w:cs="Noto Serif CJK SC"/>
          <w:b/>
          <w:color w:val="1F4E79"/>
          <w:sz w:val="31"/>
        </w:rPr>
        <w:t>附录 B：你可以直接对外使用的项目定位句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This project studies structure-aware 3D grounding under spatial ambiguity, with explicit target–anchor reasoning and interpretable diagnostics for downstream embodied systems.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Rather than building another end-to-end VLA stack, the project focuses on the perception bridge: grounding language to the correct object in cluttered 3D scenes with stable relation reasoning.</w:t>
      </w:r>
    </w:p>
    <w:p>
      <w:pPr>
        <w:pStyle w:val="ListBullet"/>
        <w:spacing w:before="0" w:after="40" w:line="293" w:lineRule="auto"/>
      </w:pPr>
      <w:r>
        <w:rPr>
          <w:rFonts w:ascii="Noto Sans CJK SC" w:hAnsi="Noto Sans CJK SC" w:eastAsia="Noto Sans CJK SC" w:cs="Noto Sans CJK SC"/>
          <w:color w:val="222222"/>
          <w:sz w:val="21"/>
        </w:rPr>
        <w:t>The system is designed to expose grounded objects, anchor distributions, and failure tags, making it suitable as an upstream module for embodied planning and scene-memory-based agents.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66666"/>
        <w:sz w:val="17"/>
      </w:rPr>
      <w:t>CSC6133 · Upgraded Blueprint · 3D Structured Spatial Reasoning for Embodied Perception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