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E3A5F"/>
          <w:sz w:val="56"/>
          <w:szCs w:val="56"/>
        </w:rPr>
        <w:t xml:space="preserve">Activation Function Benchmark</w:t>
      </w:r>
    </w:p>
    <w:p>
      <w:pPr>
        <w:spacing w:after="60" w:before="0"/>
      </w:pPr>
      <w:r>
        <w:rPr>
          <w:rFonts w:ascii="Arial" w:cs="Arial" w:eastAsia="Arial" w:hAnsi="Arial"/>
          <w:color w:val="2563EB"/>
          <w:sz w:val="28"/>
          <w:szCs w:val="28"/>
        </w:rPr>
        <w:t xml:space="preserve">Deep MLP on MNIST — ReLU vs GELU vs Swish vs Mish vs Euler-v2</w:t>
      </w:r>
    </w:p>
    <w:p>
      <w:pPr>
        <w:pBdr>
          <w:bottom w:val="single" w:color="CBD5E1" w:sz="6" w:space="8"/>
        </w:pBdr>
        <w:spacing w:after="280" w:before="0"/>
      </w:pPr>
      <w:r>
        <w:rPr>
          <w:rFonts w:ascii="Arial" w:cs="Arial" w:eastAsia="Arial" w:hAnsi="Arial"/>
          <w:i/>
          <w:iCs/>
          <w:color w:val="64748B"/>
          <w:sz w:val="22"/>
          <w:szCs w:val="22"/>
        </w:rPr>
        <w:t xml:space="preserve">5 seeds  •  20 epochs  •  8-layer MLP, hidden=256  •  AdamW + CosineAnnealingLR</w:t>
      </w:r>
    </w:p>
    <w:p>
      <w:pPr>
        <w:spacing w:after="120"/>
      </w:pPr>
      <w:r>
        <w:t xml:space="preserve"/>
      </w:r>
    </w:p>
    <w:p>
      <w:pPr>
        <w:pStyle w:val="Heading1"/>
        <w:pBdr>
          <w:bottom w:val="single" w:color="2563EB" w:sz="4" w:space="4"/>
        </w:pBdr>
        <w:spacing w:after="160" w:before="320"/>
      </w:pPr>
      <w:r>
        <w:rPr>
          <w:rFonts w:ascii="Arial" w:cs="Arial" w:eastAsia="Arial" w:hAnsi="Arial"/>
          <w:b/>
          <w:bCs/>
          <w:color w:val="1E3A5F"/>
          <w:sz w:val="36"/>
          <w:szCs w:val="36"/>
        </w:rPr>
        <w:t xml:space="preserve">Abstract</w:t>
      </w:r>
    </w:p>
    <w:p>
      <w:pPr>
        <w:spacing w:after="160" w:before="0"/>
        <w:jc w:val="left"/>
      </w:pPr>
      <w:r>
        <w:rPr>
          <w:rFonts w:ascii="Arial" w:cs="Arial" w:eastAsia="Arial" w:hAnsi="Arial"/>
          <w:b w:val="false"/>
          <w:bCs w:val="false"/>
          <w:i w:val="false"/>
          <w:iCs w:val="false"/>
          <w:color w:val="1E293B"/>
          <w:sz w:val="22"/>
          <w:szCs w:val="22"/>
        </w:rPr>
        <w:t xml:space="preserve">We benchmark five activation functions on the MNIST digit classification task using a deep 8-layer MLP (hidden dim = 256). Each activation is evaluated across 5 random seeds to ensure statistical reliability. Results show that all modern smooth activations (GELU, Swish, Mish) outperform classic ReLU, while the novel Euler-v2 activation performs competitively despite carrying a higher computational cost.</w:t>
      </w:r>
    </w:p>
    <w:p>
      <w:pPr>
        <w:spacing w:after="120"/>
      </w:pPr>
      <w:r>
        <w:t xml:space="preserve"/>
      </w:r>
    </w:p>
    <w:p>
      <w:pPr>
        <w:pStyle w:val="Heading1"/>
        <w:pBdr>
          <w:bottom w:val="single" w:color="2563EB" w:sz="4" w:space="4"/>
        </w:pBdr>
        <w:spacing w:after="160" w:before="320"/>
      </w:pPr>
      <w:r>
        <w:rPr>
          <w:rFonts w:ascii="Arial" w:cs="Arial" w:eastAsia="Arial" w:hAnsi="Arial"/>
          <w:b/>
          <w:bCs/>
          <w:color w:val="1E3A5F"/>
          <w:sz w:val="36"/>
          <w:szCs w:val="36"/>
        </w:rPr>
        <w:t xml:space="preserve">Experimental Setup</w:t>
      </w:r>
    </w:p>
    <w:p>
      <w:pPr>
        <w:pStyle w:val="Heading2"/>
        <w:spacing w:after="120" w:before="240"/>
      </w:pPr>
      <w:r>
        <w:rPr>
          <w:rFonts w:ascii="Arial" w:cs="Arial" w:eastAsia="Arial" w:hAnsi="Arial"/>
          <w:b/>
          <w:bCs/>
          <w:color w:val="2563EB"/>
          <w:sz w:val="28"/>
          <w:szCs w:val="28"/>
        </w:rPr>
        <w:t xml:space="preserve">Model Architecture</w:t>
      </w:r>
    </w:p>
    <w:p>
      <w:pPr>
        <w:pStyle w:val="ListParagraph"/>
        <w:numPr>
          <w:ilvl w:val="0"/>
          <w:numId w:val="2"/>
        </w:numPr>
        <w:spacing w:after="80"/>
      </w:pPr>
      <w:r>
        <w:rPr>
          <w:rFonts w:ascii="Arial" w:cs="Arial" w:eastAsia="Arial" w:hAnsi="Arial"/>
          <w:color w:val="1E293B"/>
          <w:sz w:val="22"/>
          <w:szCs w:val="22"/>
        </w:rPr>
        <w:t xml:space="preserve">8-layer MLP with hidden dimension 256</w:t>
      </w:r>
    </w:p>
    <w:p>
      <w:pPr>
        <w:pStyle w:val="ListParagraph"/>
        <w:numPr>
          <w:ilvl w:val="0"/>
          <w:numId w:val="2"/>
        </w:numPr>
        <w:spacing w:after="80"/>
      </w:pPr>
      <w:r>
        <w:rPr>
          <w:rFonts w:ascii="Arial" w:cs="Arial" w:eastAsia="Arial" w:hAnsi="Arial"/>
          <w:color w:val="1E293B"/>
          <w:sz w:val="22"/>
          <w:szCs w:val="22"/>
        </w:rPr>
        <w:t xml:space="preserve">LayerNorm after each linear layer</w:t>
      </w:r>
    </w:p>
    <w:p>
      <w:pPr>
        <w:pStyle w:val="ListParagraph"/>
        <w:numPr>
          <w:ilvl w:val="0"/>
          <w:numId w:val="2"/>
        </w:numPr>
        <w:spacing w:after="80"/>
      </w:pPr>
      <w:r>
        <w:rPr>
          <w:rFonts w:ascii="Arial" w:cs="Arial" w:eastAsia="Arial" w:hAnsi="Arial"/>
          <w:color w:val="1E293B"/>
          <w:sz w:val="22"/>
          <w:szCs w:val="22"/>
        </w:rPr>
        <w:t xml:space="preserve">Input: MNIST (28x28 flattened), Output: 10 classes</w:t>
      </w:r>
    </w:p>
    <w:p>
      <w:pPr>
        <w:pStyle w:val="ListParagraph"/>
        <w:numPr>
          <w:ilvl w:val="0"/>
          <w:numId w:val="2"/>
        </w:numPr>
        <w:spacing w:after="80"/>
      </w:pPr>
      <w:r>
        <w:rPr>
          <w:rFonts w:ascii="Arial" w:cs="Arial" w:eastAsia="Arial" w:hAnsi="Arial"/>
          <w:color w:val="1E293B"/>
          <w:sz w:val="22"/>
          <w:szCs w:val="22"/>
        </w:rPr>
        <w:t xml:space="preserve">Gradient clipping at max_norm=1.0</w:t>
      </w:r>
    </w:p>
    <w:p>
      <w:pPr>
        <w:spacing w:after="120"/>
      </w:pPr>
      <w:r>
        <w:t xml:space="preserve"/>
      </w:r>
    </w:p>
    <w:p>
      <w:pPr>
        <w:pStyle w:val="Heading2"/>
        <w:spacing w:after="120" w:before="240"/>
      </w:pPr>
      <w:r>
        <w:rPr>
          <w:rFonts w:ascii="Arial" w:cs="Arial" w:eastAsia="Arial" w:hAnsi="Arial"/>
          <w:b/>
          <w:bCs/>
          <w:color w:val="2563EB"/>
          <w:sz w:val="28"/>
          <w:szCs w:val="28"/>
        </w:rPr>
        <w:t xml:space="preserve">Training Protocol</w:t>
      </w:r>
    </w:p>
    <w:p>
      <w:pPr>
        <w:pStyle w:val="ListParagraph"/>
        <w:numPr>
          <w:ilvl w:val="0"/>
          <w:numId w:val="2"/>
        </w:numPr>
        <w:spacing w:after="80"/>
      </w:pPr>
      <w:r>
        <w:rPr>
          <w:rFonts w:ascii="Arial" w:cs="Arial" w:eastAsia="Arial" w:hAnsi="Arial"/>
          <w:color w:val="1E293B"/>
          <w:sz w:val="22"/>
          <w:szCs w:val="22"/>
        </w:rPr>
        <w:t xml:space="preserve">Optimizer: AdamW (lr=3e-4, weight_decay=1e-4)</w:t>
      </w:r>
    </w:p>
    <w:p>
      <w:pPr>
        <w:pStyle w:val="ListParagraph"/>
        <w:numPr>
          <w:ilvl w:val="0"/>
          <w:numId w:val="2"/>
        </w:numPr>
        <w:spacing w:after="80"/>
      </w:pPr>
      <w:r>
        <w:rPr>
          <w:rFonts w:ascii="Arial" w:cs="Arial" w:eastAsia="Arial" w:hAnsi="Arial"/>
          <w:color w:val="1E293B"/>
          <w:sz w:val="22"/>
          <w:szCs w:val="22"/>
        </w:rPr>
        <w:t xml:space="preserve">Scheduler: CosineAnnealingLR over 20 epochs</w:t>
      </w:r>
    </w:p>
    <w:p>
      <w:pPr>
        <w:pStyle w:val="ListParagraph"/>
        <w:numPr>
          <w:ilvl w:val="0"/>
          <w:numId w:val="2"/>
        </w:numPr>
        <w:spacing w:after="80"/>
      </w:pPr>
      <w:r>
        <w:rPr>
          <w:rFonts w:ascii="Arial" w:cs="Arial" w:eastAsia="Arial" w:hAnsi="Arial"/>
          <w:color w:val="1E293B"/>
          <w:sz w:val="22"/>
          <w:szCs w:val="22"/>
        </w:rPr>
        <w:t xml:space="preserve">Batch size: 128 | Val split: 5,000 samples (fixed seed 777)</w:t>
      </w:r>
    </w:p>
    <w:p>
      <w:pPr>
        <w:pStyle w:val="ListParagraph"/>
        <w:numPr>
          <w:ilvl w:val="0"/>
          <w:numId w:val="2"/>
        </w:numPr>
        <w:spacing w:after="80"/>
      </w:pPr>
      <w:r>
        <w:rPr>
          <w:rFonts w:ascii="Arial" w:cs="Arial" w:eastAsia="Arial" w:hAnsi="Arial"/>
          <w:color w:val="1E293B"/>
          <w:sz w:val="22"/>
          <w:szCs w:val="22"/>
        </w:rPr>
        <w:t xml:space="preserve">Seeds evaluated: 42, 123, 999, 2024, 2025</w:t>
      </w:r>
    </w:p>
    <w:p>
      <w:pPr>
        <w:pStyle w:val="ListParagraph"/>
        <w:numPr>
          <w:ilvl w:val="0"/>
          <w:numId w:val="2"/>
        </w:numPr>
        <w:spacing w:after="80"/>
      </w:pPr>
      <w:r>
        <w:rPr>
          <w:rFonts w:ascii="Arial" w:cs="Arial" w:eastAsia="Arial" w:hAnsi="Arial"/>
          <w:color w:val="1E293B"/>
          <w:sz w:val="22"/>
          <w:szCs w:val="22"/>
        </w:rPr>
        <w:t xml:space="preserve">Best model selected by peak validation accuracy</w:t>
      </w:r>
    </w:p>
    <w:p>
      <w:pPr>
        <w:spacing w:after="120"/>
      </w:pPr>
      <w:r>
        <w:t xml:space="preserve"/>
      </w:r>
    </w:p>
    <w:p>
      <w:pPr>
        <w:pStyle w:val="Heading2"/>
        <w:spacing w:after="120" w:before="240"/>
      </w:pPr>
      <w:r>
        <w:rPr>
          <w:rFonts w:ascii="Arial" w:cs="Arial" w:eastAsia="Arial" w:hAnsi="Arial"/>
          <w:b/>
          <w:bCs/>
          <w:color w:val="2563EB"/>
          <w:sz w:val="28"/>
          <w:szCs w:val="28"/>
        </w:rPr>
        <w:t xml:space="preserve">Euler-v2 Activation (AdaptiveEulerGate)</w:t>
      </w:r>
    </w:p>
    <w:p>
      <w:pPr>
        <w:spacing w:after="80" w:before="0"/>
        <w:jc w:val="left"/>
      </w:pPr>
      <w:r>
        <w:rPr>
          <w:rFonts w:ascii="Arial" w:cs="Arial" w:eastAsia="Arial" w:hAnsi="Arial"/>
          <w:b w:val="false"/>
          <w:bCs w:val="false"/>
          <w:i w:val="false"/>
          <w:iCs w:val="false"/>
          <w:color w:val="1E293B"/>
          <w:sz w:val="22"/>
          <w:szCs w:val="22"/>
        </w:rPr>
        <w:t xml:space="preserve">The custom activation function under study is defined as:</w:t>
      </w:r>
    </w:p>
    <w:p>
      <w:pPr>
        <w:pBdr>
          <w:left w:val="single" w:color="2563EB" w:sz="12" w:space="8"/>
        </w:pBdr>
        <w:shd w:fill="F8FAFC" w:val="clear"/>
        <w:spacing w:after="80" w:before="80"/>
        <w:ind w:left="480"/>
      </w:pPr>
      <w:r>
        <w:rPr>
          <w:rFonts w:ascii="Courier New" w:cs="Courier New" w:eastAsia="Courier New" w:hAnsi="Courier New"/>
          <w:color w:val="1E3A5F"/>
          <w:sz w:val="22"/>
          <w:szCs w:val="22"/>
        </w:rPr>
        <w:t xml:space="preserve">out = α × (cos(θ)·x + sin(θ)·tanh(x)) × sigmoid(γ·x + β)</w:t>
      </w:r>
    </w:p>
    <w:p>
      <w:pPr>
        <w:spacing w:after="160" w:before="0"/>
        <w:jc w:val="left"/>
      </w:pPr>
      <w:r>
        <w:rPr>
          <w:rFonts w:ascii="Arial" w:cs="Arial" w:eastAsia="Arial" w:hAnsi="Arial"/>
          <w:b w:val="false"/>
          <w:bCs w:val="false"/>
          <w:i w:val="false"/>
          <w:iCs w:val="false"/>
          <w:color w:val="1E293B"/>
          <w:sz w:val="22"/>
          <w:szCs w:val="22"/>
        </w:rPr>
        <w:t xml:space="preserve">where θ, α, γ, β are learnable per-feature parameters. This blends a linear pathway with a saturating tanh component, modulated by a learned sigmoid gate. The design is inspired by Euler's formula decomposition.</w:t>
      </w:r>
    </w:p>
    <w:p>
      <w:pPr>
        <w:spacing w:after="120"/>
      </w:pPr>
      <w:r>
        <w:t xml:space="preserve"/>
      </w:r>
    </w:p>
    <w:p>
      <w:pPr>
        <w:pStyle w:val="Heading1"/>
        <w:pBdr>
          <w:bottom w:val="single" w:color="2563EB" w:sz="4" w:space="4"/>
        </w:pBdr>
        <w:spacing w:after="160" w:before="320"/>
      </w:pPr>
      <w:r>
        <w:rPr>
          <w:rFonts w:ascii="Arial" w:cs="Arial" w:eastAsia="Arial" w:hAnsi="Arial"/>
          <w:b/>
          <w:bCs/>
          <w:color w:val="1E3A5F"/>
          <w:sz w:val="36"/>
          <w:szCs w:val="36"/>
        </w:rPr>
        <w:t xml:space="preserve">Results</w:t>
      </w:r>
    </w:p>
    <w:p>
      <w:pPr>
        <w:spacing w:after="160" w:before="0"/>
        <w:jc w:val="left"/>
      </w:pPr>
      <w:r>
        <w:rPr>
          <w:rFonts w:ascii="Arial" w:cs="Arial" w:eastAsia="Arial" w:hAnsi="Arial"/>
          <w:b w:val="false"/>
          <w:bCs w:val="false"/>
          <w:i/>
          <w:iCs/>
          <w:color w:val="64748B"/>
          <w:sz w:val="22"/>
          <w:szCs w:val="22"/>
        </w:rPr>
        <w:t xml:space="preserve">All values reported as Mean ± Std across 5 seeds.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1980"/>
        <w:gridCol w:w="1980"/>
        <w:gridCol w:w="1980"/>
        <w:gridCol w:w="720"/>
        <w:gridCol w:w="1460"/>
      </w:tblGrid>
      <w:tr>
        <w:trPr>
          <w:tblHeader/>
        </w:trPr>
        <w:tc>
          <w:tcPr>
            <w:tcW w:type="dxa" w:w="144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Activation</w:t>
            </w:r>
          </w:p>
        </w:tc>
        <w:tc>
          <w:tcPr>
            <w:tcW w:type="dxa" w:w="180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Best Epoch</w:t>
            </w:r>
          </w:p>
        </w:tc>
        <w:tc>
          <w:tcPr>
            <w:tcW w:type="dxa" w:w="198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 Acc</w:t>
            </w:r>
          </w:p>
        </w:tc>
        <w:tc>
          <w:tcPr>
            <w:tcW w:type="dxa" w:w="198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Test Loss</w:t>
            </w:r>
          </w:p>
        </w:tc>
        <w:tc>
          <w:tcPr>
            <w:tcW w:type="dxa" w:w="198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Test Acc</w:t>
            </w:r>
          </w:p>
        </w:tc>
        <w:tc>
          <w:tcPr>
            <w:tcW w:type="dxa" w:w="72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Rank</w:t>
            </w:r>
          </w:p>
        </w:tc>
        <w:tc>
          <w:tcPr>
            <w:tcW w:type="dxa" w:w="1460"/>
            <w:tcBorders>
              <w:top w:val="single" w:color="2563EB" w:sz="1"/>
              <w:left w:val="single" w:color="2563EB" w:sz="1"/>
              <w:bottom w:val="single" w:color="2563EB" w:sz="1"/>
              <w:right w:val="single" w:color="2563EB" w:sz="1"/>
            </w:tcBorders>
            <w:shd w:fill="1E3A5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Δ GELU</w:t>
            </w:r>
          </w:p>
        </w:tc>
      </w:tr>
      <w:tr>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E293B"/>
                <w:sz w:val="20"/>
                <w:szCs w:val="20"/>
              </w:rPr>
              <w:t xml:space="preserve">RELU</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color w:val="1E293B"/>
                <w:sz w:val="20"/>
                <w:szCs w:val="20"/>
              </w:rPr>
              <w:t xml:space="preserve">14.40±1.50</w:t>
            </w:r>
          </w:p>
        </w:tc>
        <w:tc>
          <w:tcPr>
            <w:tcW w:type="dxa" w:w="19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color w:val="1E293B"/>
                <w:sz w:val="20"/>
                <w:szCs w:val="20"/>
              </w:rPr>
              <w:t xml:space="preserve">98.36%±0.11%</w:t>
            </w:r>
          </w:p>
        </w:tc>
        <w:tc>
          <w:tcPr>
            <w:tcW w:type="dxa" w:w="19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color w:val="1E293B"/>
                <w:sz w:val="20"/>
                <w:szCs w:val="20"/>
              </w:rPr>
              <w:t xml:space="preserve">0.0849±0.0014</w:t>
            </w:r>
          </w:p>
        </w:tc>
        <w:tc>
          <w:tcPr>
            <w:tcW w:type="dxa" w:w="19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color w:val="1E293B"/>
                <w:sz w:val="20"/>
                <w:szCs w:val="20"/>
              </w:rPr>
              <w:t xml:space="preserve">98.37%±0.08%</w:t>
            </w:r>
          </w:p>
        </w:tc>
        <w:tc>
          <w:tcPr>
            <w:tcW w:type="dxa" w:w="7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5</w:t>
            </w:r>
          </w:p>
        </w:tc>
        <w:tc>
          <w:tcPr>
            <w:tcW w:type="dxa" w:w="1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color w:val="DC2626"/>
                <w:sz w:val="20"/>
                <w:szCs w:val="20"/>
              </w:rPr>
              <w:t xml:space="preserve">-0.10 pp</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GELU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15.80±0.75</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98.45%±0.10%</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0.0837±0.0032</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98.47%±0.04%</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6A34A"/>
                <w:sz w:val="20"/>
                <w:szCs w:val="20"/>
              </w:rPr>
              <w:t xml:space="preserve">1</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6A34A"/>
                <w:sz w:val="20"/>
                <w:szCs w:val="20"/>
              </w:rPr>
              <w:t xml:space="preserve">+0.00 pp</w:t>
            </w:r>
          </w:p>
        </w:tc>
      </w:tr>
      <w:tr>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1E293B"/>
                <w:sz w:val="20"/>
                <w:szCs w:val="20"/>
              </w:rPr>
              <w:t xml:space="preserve">SWISH</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color w:val="1E293B"/>
                <w:sz w:val="20"/>
                <w:szCs w:val="20"/>
              </w:rPr>
              <w:t xml:space="preserve">17.20±1.60</w:t>
            </w:r>
          </w:p>
        </w:tc>
        <w:tc>
          <w:tcPr>
            <w:tcW w:type="dxa" w:w="19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color w:val="1E293B"/>
                <w:sz w:val="20"/>
                <w:szCs w:val="20"/>
              </w:rPr>
              <w:t xml:space="preserve">98.55%±0.06%</w:t>
            </w:r>
          </w:p>
        </w:tc>
        <w:tc>
          <w:tcPr>
            <w:tcW w:type="dxa" w:w="19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color w:val="1E293B"/>
                <w:sz w:val="20"/>
                <w:szCs w:val="20"/>
              </w:rPr>
              <w:t xml:space="preserve">0.0795±0.0035</w:t>
            </w:r>
          </w:p>
        </w:tc>
        <w:tc>
          <w:tcPr>
            <w:tcW w:type="dxa" w:w="19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color w:val="1E293B"/>
                <w:sz w:val="20"/>
                <w:szCs w:val="20"/>
              </w:rPr>
              <w:t xml:space="preserve">98.47%±0.05%</w:t>
            </w:r>
          </w:p>
        </w:tc>
        <w:tc>
          <w:tcPr>
            <w:tcW w:type="dxa" w:w="7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2</w:t>
            </w:r>
          </w:p>
        </w:tc>
        <w:tc>
          <w:tcPr>
            <w:tcW w:type="dxa" w:w="1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color w:val="16A34A"/>
                <w:sz w:val="20"/>
                <w:szCs w:val="20"/>
              </w:rPr>
              <w:t xml:space="preserve">+0.00 pp</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MISH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15.20±2.14</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98.52%±0.12%</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0.0761±0.0039</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98.44%±0.08%</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3</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-0.03 pp</w:t>
            </w:r>
          </w:p>
        </w:tc>
      </w:tr>
      <w:tr>
        <w:tc>
          <w:tcPr>
            <w:tcW w:type="dxa" w:w="144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tcPr>
          <w:p>
            <w:r>
              <w:rPr>
                <w:rFonts w:ascii="Arial" w:cs="Arial" w:eastAsia="Arial" w:hAnsi="Arial"/>
                <w:b/>
                <w:bCs/>
                <w:color w:val="B45309"/>
                <w:sz w:val="20"/>
                <w:szCs w:val="20"/>
              </w:rPr>
              <w:t xml:space="preserve">EULER_V2</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color w:val="1E293B"/>
                <w:sz w:val="20"/>
                <w:szCs w:val="20"/>
              </w:rPr>
              <w:t xml:space="preserve">16.00±1.41</w:t>
            </w:r>
          </w:p>
        </w:tc>
        <w:tc>
          <w:tcPr>
            <w:tcW w:type="dxa" w:w="19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color w:val="1E293B"/>
                <w:sz w:val="20"/>
                <w:szCs w:val="20"/>
              </w:rPr>
              <w:t xml:space="preserve">98.44%±0.08%</w:t>
            </w:r>
          </w:p>
        </w:tc>
        <w:tc>
          <w:tcPr>
            <w:tcW w:type="dxa" w:w="19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color w:val="1E293B"/>
                <w:sz w:val="20"/>
                <w:szCs w:val="20"/>
              </w:rPr>
              <w:t xml:space="preserve">0.0818±0.0027</w:t>
            </w:r>
          </w:p>
        </w:tc>
        <w:tc>
          <w:tcPr>
            <w:tcW w:type="dxa" w:w="19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color w:val="1E293B"/>
                <w:sz w:val="20"/>
                <w:szCs w:val="20"/>
              </w:rPr>
              <w:t xml:space="preserve">98.41%±0.07%</w:t>
            </w:r>
          </w:p>
        </w:tc>
        <w:tc>
          <w:tcPr>
            <w:tcW w:type="dxa" w:w="7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b/>
                <w:bCs/>
                <w:color w:val="1E293B"/>
                <w:sz w:val="20"/>
                <w:szCs w:val="20"/>
              </w:rPr>
              <w:t xml:space="preserve">4</w:t>
            </w:r>
          </w:p>
        </w:tc>
        <w:tc>
          <w:tcPr>
            <w:tcW w:type="dxa" w:w="1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pPr>
              <w:jc w:val="center"/>
            </w:pPr>
            <w:r>
              <w:rPr>
                <w:rFonts w:ascii="Arial" w:cs="Arial" w:eastAsia="Arial" w:hAnsi="Arial"/>
                <w:color w:val="DC2626"/>
                <w:sz w:val="20"/>
                <w:szCs w:val="20"/>
              </w:rPr>
              <w:t xml:space="preserve">-0.06 pp</w:t>
            </w:r>
          </w:p>
        </w:tc>
      </w:tr>
    </w:tbl>
    <w:p>
      <w:pPr>
        <w:spacing w:after="120"/>
      </w:pPr>
      <w:r>
        <w:t xml:space="preserve"/>
      </w:r>
    </w:p>
    <w:p>
      <w:pPr>
        <w:spacing w:after="120"/>
      </w:pPr>
      <w:r>
        <w:t xml:space="preserve"/>
      </w:r>
    </w:p>
    <w:p>
      <w:pPr>
        <w:pStyle w:val="Heading1"/>
        <w:pBdr>
          <w:bottom w:val="single" w:color="2563EB" w:sz="4" w:space="4"/>
        </w:pBdr>
        <w:spacing w:after="160" w:before="320"/>
      </w:pPr>
      <w:r>
        <w:rPr>
          <w:rFonts w:ascii="Arial" w:cs="Arial" w:eastAsia="Arial" w:hAnsi="Arial"/>
          <w:b/>
          <w:bCs/>
          <w:color w:val="1E3A5F"/>
          <w:sz w:val="36"/>
          <w:szCs w:val="36"/>
        </w:rPr>
        <w:t xml:space="preserve">Analysis</w:t>
      </w:r>
    </w:p>
    <w:p>
      <w:pPr>
        <w:pStyle w:val="Heading2"/>
        <w:spacing w:after="120" w:before="240"/>
      </w:pPr>
      <w:r>
        <w:rPr>
          <w:rFonts w:ascii="Arial" w:cs="Arial" w:eastAsia="Arial" w:hAnsi="Arial"/>
          <w:b/>
          <w:bCs/>
          <w:color w:val="2563EB"/>
          <w:sz w:val="28"/>
          <w:szCs w:val="28"/>
        </w:rPr>
        <w:t xml:space="preserve">Accuracy</w:t>
      </w:r>
    </w:p>
    <w:p>
      <w:pPr>
        <w:spacing w:after="120" w:before="0"/>
        <w:jc w:val="left"/>
      </w:pPr>
      <w:r>
        <w:rPr>
          <w:rFonts w:ascii="Arial" w:cs="Arial" w:eastAsia="Arial" w:hAnsi="Arial"/>
          <w:b w:val="false"/>
          <w:bCs w:val="false"/>
          <w:i w:val="false"/>
          <w:iCs w:val="false"/>
          <w:color w:val="1E293B"/>
          <w:sz w:val="22"/>
          <w:szCs w:val="22"/>
        </w:rPr>
        <w:t xml:space="preserve">The accuracy spread across all activations is remarkably tight: only 0.10 percentage points separate last-place ReLU (98.37%) from the joint leaders GELU and Swish (98.47%). At this scale, differences are unlikely to be practically significant — all activations solve MNIST near-optimally.</w:t>
      </w:r>
    </w:p>
    <w:p>
      <w:pPr>
        <w:spacing w:after="120"/>
      </w:pPr>
      <w:r>
        <w:t xml:space="preserve"/>
      </w:r>
    </w:p>
    <w:p>
      <w:pPr>
        <w:pStyle w:val="Heading2"/>
        <w:spacing w:after="120" w:before="240"/>
      </w:pPr>
      <w:r>
        <w:rPr>
          <w:rFonts w:ascii="Arial" w:cs="Arial" w:eastAsia="Arial" w:hAnsi="Arial"/>
          <w:b/>
          <w:bCs/>
          <w:color w:val="2563EB"/>
          <w:sz w:val="28"/>
          <w:szCs w:val="28"/>
        </w:rPr>
        <w:t xml:space="preserve">Convergence Speed</w:t>
      </w:r>
    </w:p>
    <w:p>
      <w:pPr>
        <w:spacing w:after="120" w:before="0"/>
        <w:jc w:val="left"/>
      </w:pPr>
      <w:r>
        <w:rPr>
          <w:rFonts w:ascii="Arial" w:cs="Arial" w:eastAsia="Arial" w:hAnsi="Arial"/>
          <w:b w:val="false"/>
          <w:bCs w:val="false"/>
          <w:i w:val="false"/>
          <w:iCs w:val="false"/>
          <w:color w:val="1E293B"/>
          <w:sz w:val="22"/>
          <w:szCs w:val="22"/>
        </w:rPr>
        <w:t xml:space="preserve">Swish converges latest on average (best epoch 17.2), suggesting it may benefit from longer training schedules. ReLU converges earliest (14.4 epochs) but with higher variance. Euler-v2 matches GELU at 16.0 epochs, indicating competitive convergence behaviour.</w:t>
      </w:r>
    </w:p>
    <w:p>
      <w:pPr>
        <w:spacing w:after="120"/>
      </w:pPr>
      <w:r>
        <w:t xml:space="preserve"/>
      </w:r>
    </w:p>
    <w:p>
      <w:pPr>
        <w:pStyle w:val="Heading2"/>
        <w:spacing w:after="120" w:before="240"/>
      </w:pPr>
      <w:r>
        <w:rPr>
          <w:rFonts w:ascii="Arial" w:cs="Arial" w:eastAsia="Arial" w:hAnsi="Arial"/>
          <w:b/>
          <w:bCs/>
          <w:color w:val="2563EB"/>
          <w:sz w:val="28"/>
          <w:szCs w:val="28"/>
        </w:rPr>
        <w:t xml:space="preserve">Test Loss</w:t>
      </w:r>
    </w:p>
    <w:p>
      <w:pPr>
        <w:spacing w:after="120" w:before="0"/>
        <w:jc w:val="left"/>
      </w:pPr>
      <w:r>
        <w:rPr>
          <w:rFonts w:ascii="Arial" w:cs="Arial" w:eastAsia="Arial" w:hAnsi="Arial"/>
          <w:b w:val="false"/>
          <w:bCs w:val="false"/>
          <w:i w:val="false"/>
          <w:iCs w:val="false"/>
          <w:color w:val="1E293B"/>
          <w:sz w:val="22"/>
          <w:szCs w:val="22"/>
        </w:rPr>
        <w:t xml:space="preserve">Mish achieves the lowest test loss (0.0761), indicating better calibration of confidence despite not achieving the highest accuracy. Euler-v2 sits between GELU and ReLU at 0.0818, a respectable result for a parametric activation.</w:t>
      </w:r>
    </w:p>
    <w:p>
      <w:pPr>
        <w:spacing w:after="120"/>
      </w:pPr>
      <w:r>
        <w:t xml:space="preserve"/>
      </w:r>
    </w:p>
    <w:p>
      <w:pPr>
        <w:pStyle w:val="Heading2"/>
        <w:spacing w:after="120" w:before="240"/>
      </w:pPr>
      <w:r>
        <w:rPr>
          <w:rFonts w:ascii="Arial" w:cs="Arial" w:eastAsia="Arial" w:hAnsi="Arial"/>
          <w:b/>
          <w:bCs/>
          <w:color w:val="2563EB"/>
          <w:sz w:val="28"/>
          <w:szCs w:val="28"/>
        </w:rPr>
        <w:t xml:space="preserve">Euler-v2 vs. Baselines</w:t>
      </w:r>
    </w:p>
    <w:p>
      <w:pPr>
        <w:spacing w:after="120" w:before="0"/>
        <w:jc w:val="left"/>
      </w:pPr>
      <w:r>
        <w:rPr>
          <w:rFonts w:ascii="Arial" w:cs="Arial" w:eastAsia="Arial" w:hAnsi="Arial"/>
          <w:b w:val="false"/>
          <w:bCs w:val="false"/>
          <w:i w:val="false"/>
          <w:iCs w:val="false"/>
          <w:color w:val="1E293B"/>
          <w:sz w:val="22"/>
          <w:szCs w:val="22"/>
        </w:rPr>
        <w:t xml:space="preserve">Euler-v2 trails GELU by only 0.06 pp in test accuracy. This gap is within one standard deviation of both distributions, meaning the difference is likely not statistically significant. The main tradeoff is computational: Euler-v2 runs ~16% slower per epoch compared to GELU (327s vs 280s) due to its learnable parameters and trigonometric operations.</w:t>
      </w:r>
    </w:p>
    <w:p>
      <w:pPr>
        <w:spacing w:after="120"/>
      </w:pPr>
      <w:r>
        <w:t xml:space="preserve"/>
      </w:r>
    </w:p>
    <w:p>
      <w:pPr>
        <w:pStyle w:val="Heading1"/>
        <w:pBdr>
          <w:bottom w:val="single" w:color="2563EB" w:sz="4" w:space="4"/>
        </w:pBdr>
        <w:spacing w:after="160" w:before="320"/>
      </w:pPr>
      <w:r>
        <w:rPr>
          <w:rFonts w:ascii="Arial" w:cs="Arial" w:eastAsia="Arial" w:hAnsi="Arial"/>
          <w:b/>
          <w:bCs/>
          <w:color w:val="1E3A5F"/>
          <w:sz w:val="36"/>
          <w:szCs w:val="36"/>
        </w:rPr>
        <w:t xml:space="preserve">Conclusions</w:t>
      </w:r>
    </w:p>
    <w:p>
      <w:pPr>
        <w:pStyle w:val="ListParagraph"/>
        <w:numPr>
          <w:ilvl w:val="0"/>
          <w:numId w:val="2"/>
        </w:numPr>
        <w:spacing w:after="80"/>
      </w:pPr>
      <w:r>
        <w:rPr>
          <w:rFonts w:ascii="Arial" w:cs="Arial" w:eastAsia="Arial" w:hAnsi="Arial"/>
          <w:color w:val="1E293B"/>
          <w:sz w:val="22"/>
          <w:szCs w:val="22"/>
        </w:rPr>
        <w:t xml:space="preserve">All smooth activations (GELU, Swish, Mish, Euler-v2) outperform ReLU, consistent with the broader literature.</w:t>
      </w:r>
    </w:p>
    <w:p>
      <w:pPr>
        <w:pStyle w:val="ListParagraph"/>
        <w:numPr>
          <w:ilvl w:val="0"/>
          <w:numId w:val="2"/>
        </w:numPr>
        <w:spacing w:after="80"/>
      </w:pPr>
      <w:r>
        <w:rPr>
          <w:rFonts w:ascii="Arial" w:cs="Arial" w:eastAsia="Arial" w:hAnsi="Arial"/>
          <w:color w:val="1E293B"/>
          <w:sz w:val="22"/>
          <w:szCs w:val="22"/>
        </w:rPr>
        <w:t xml:space="preserve">GELU and Swish tie for first place at 98.47% mean test accuracy.</w:t>
      </w:r>
    </w:p>
    <w:p>
      <w:pPr>
        <w:pStyle w:val="ListParagraph"/>
        <w:numPr>
          <w:ilvl w:val="0"/>
          <w:numId w:val="2"/>
        </w:numPr>
        <w:spacing w:after="80"/>
      </w:pPr>
      <w:r>
        <w:rPr>
          <w:rFonts w:ascii="Arial" w:cs="Arial" w:eastAsia="Arial" w:hAnsi="Arial"/>
          <w:color w:val="1E293B"/>
          <w:sz w:val="22"/>
          <w:szCs w:val="22"/>
        </w:rPr>
        <w:t xml:space="preserve">Euler-v2 performs competitively at 98.41%, only 0.06 pp below the leaders.</w:t>
      </w:r>
    </w:p>
    <w:p>
      <w:pPr>
        <w:pStyle w:val="ListParagraph"/>
        <w:numPr>
          <w:ilvl w:val="0"/>
          <w:numId w:val="2"/>
        </w:numPr>
        <w:spacing w:after="80"/>
      </w:pPr>
      <w:r>
        <w:rPr>
          <w:rFonts w:ascii="Arial" w:cs="Arial" w:eastAsia="Arial" w:hAnsi="Arial"/>
          <w:color w:val="1E293B"/>
          <w:sz w:val="22"/>
          <w:szCs w:val="22"/>
        </w:rPr>
        <w:t xml:space="preserve">Euler-v2's ~16% overhead vs GELU may not be justified for simple tasks like MNIST.</w:t>
      </w:r>
    </w:p>
    <w:p>
      <w:pPr>
        <w:pStyle w:val="ListParagraph"/>
        <w:numPr>
          <w:ilvl w:val="0"/>
          <w:numId w:val="2"/>
        </w:numPr>
        <w:spacing w:after="80"/>
      </w:pPr>
      <w:r>
        <w:rPr>
          <w:rFonts w:ascii="Arial" w:cs="Arial" w:eastAsia="Arial" w:hAnsi="Arial"/>
          <w:color w:val="1E293B"/>
          <w:sz w:val="22"/>
          <w:szCs w:val="22"/>
        </w:rPr>
        <w:t xml:space="preserve">Future work: evaluate on harder benchmarks (CIFAR-10, ImageNet subsets) and transformer architectures where Euler-v2's parameterization may provide greater benefit.</w:t>
      </w:r>
    </w:p>
    <w:p>
      <w:pPr>
        <w:spacing w:after="120"/>
      </w:pPr>
      <w:r>
        <w:t xml:space="preserve"/>
      </w:r>
    </w:p>
    <w:p>
      <w:pPr>
        <w:pStyle w:val="Heading1"/>
        <w:pBdr>
          <w:bottom w:val="single" w:color="2563EB" w:sz="4" w:space="4"/>
        </w:pBdr>
        <w:spacing w:after="160" w:before="320"/>
      </w:pPr>
      <w:r>
        <w:rPr>
          <w:rFonts w:ascii="Arial" w:cs="Arial" w:eastAsia="Arial" w:hAnsi="Arial"/>
          <w:b/>
          <w:bCs/>
          <w:color w:val="1E3A5F"/>
          <w:sz w:val="36"/>
          <w:szCs w:val="36"/>
        </w:rPr>
        <w:t xml:space="preserve">Reproducibility</w:t>
      </w:r>
    </w:p>
    <w:p>
      <w:pPr>
        <w:spacing w:after="120" w:before="0"/>
        <w:jc w:val="left"/>
      </w:pPr>
      <w:r>
        <w:rPr>
          <w:rFonts w:ascii="Arial" w:cs="Arial" w:eastAsia="Arial" w:hAnsi="Arial"/>
          <w:b w:val="false"/>
          <w:bCs w:val="false"/>
          <w:i w:val="false"/>
          <w:iCs w:val="false"/>
          <w:color w:val="1E293B"/>
          <w:sz w:val="22"/>
          <w:szCs w:val="22"/>
        </w:rPr>
        <w:t xml:space="preserve">Code and raw results are available in this repository. To replicate:</w:t>
      </w:r>
    </w:p>
    <w:p>
      <w:pPr>
        <w:spacing w:after="120"/>
      </w:pPr>
      <w:r>
        <w:t xml:space="preserve"/>
      </w:r>
    </w:p>
    <w:p>
      <w:pPr>
        <w:pBdr>
          <w:left w:val="single" w:color="64748B" w:sz="12" w:space="8"/>
        </w:pBdr>
        <w:shd w:fill="F1F5F9" w:val="clear"/>
        <w:spacing w:after="80" w:before="80"/>
        <w:ind w:left="480"/>
      </w:pPr>
      <w:r>
        <w:rPr>
          <w:rFonts w:ascii="Courier New" w:cs="Courier New" w:eastAsia="Courier New" w:hAnsi="Courier New"/>
          <w:color w:val="1E293B"/>
          <w:sz w:val="20"/>
          <w:szCs w:val="20"/>
        </w:rPr>
        <w:t xml:space="preserve">pip install torch torchvision numpy</w:t>
      </w:r>
    </w:p>
    <w:p>
      <w:pPr>
        <w:pBdr>
          <w:left w:val="single" w:color="64748B" w:sz="12" w:space="8"/>
        </w:pBdr>
        <w:shd w:fill="F1F5F9" w:val="clear"/>
        <w:spacing w:after="160" w:before="0"/>
        <w:ind w:left="480"/>
      </w:pPr>
      <w:r>
        <w:rPr>
          <w:rFonts w:ascii="Courier New" w:cs="Courier New" w:eastAsia="Courier New" w:hAnsi="Courier New"/>
          <w:color w:val="1E293B"/>
          <w:sz w:val="20"/>
          <w:szCs w:val="20"/>
        </w:rPr>
        <w:t xml:space="preserve">python benchmark.py  # set PROFILE='full' for 5 seeds x 20 epochs</w:t>
      </w:r>
    </w:p>
    <w:p>
      <w:pPr>
        <w:spacing w:after="120" w:before="0"/>
        <w:jc w:val="left"/>
      </w:pPr>
      <w:r>
        <w:rPr>
          <w:rFonts w:ascii="Arial" w:cs="Arial" w:eastAsia="Arial" w:hAnsi="Arial"/>
          <w:b w:val="false"/>
          <w:bCs w:val="false"/>
          <w:i/>
          <w:iCs/>
          <w:color w:val="64748B"/>
          <w:sz w:val="22"/>
          <w:szCs w:val="22"/>
        </w:rPr>
        <w:t xml:space="preserve">Raw per-run results are saved to benchmark_results_reliable.json for further analysis.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tabs>
        <w:tab w:val="right" w:pos="9026"/>
      </w:tabs>
      <w:spacing w:before="120"/>
    </w:pPr>
    <w:r>
      <w:rPr>
        <w:rFonts w:ascii="Arial" w:cs="Arial" w:eastAsia="Arial" w:hAnsi="Arial"/>
        <w:color w:val="94A3B8"/>
        <w:sz w:val="18"/>
        <w:szCs w:val="18"/>
      </w:rPr>
      <w:t xml:space="preserve">github.com/your-username/activation-benchmark</w:t>
    </w:r>
    <w:r>
      <w:rPr>
        <w:rFonts w:ascii="Arial" w:cs="Arial" w:eastAsia="Arial" w:hAnsi="Arial"/>
        <w:color w:val="94A3B8"/>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120"/>
    </w:pPr>
    <w:r>
      <w:rPr>
        <w:rFonts w:ascii="Arial" w:cs="Arial" w:eastAsia="Arial" w:hAnsi="Arial"/>
        <w:color w:val="64748B"/>
        <w:sz w:val="20"/>
        <w:szCs w:val="20"/>
      </w:rPr>
      <w:t xml:space="preserve">Activation Function Benchmark — MNIST Deep MLP</w:t>
    </w:r>
    <w:r>
      <w:rPr>
        <w:rFonts w:ascii="Arial" w:cs="Arial" w:eastAsia="Arial" w:hAnsi="Arial"/>
        <w:color w:val="94A3B8"/>
        <w:sz w:val="20"/>
        <w:szCs w:val="20"/>
      </w:rPr>
      <w:t xml:space="preserve">     |     May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2026-05-04T15:31:27.420Z</dcterms:created>
  <dcterms:modified xsi:type="dcterms:W3CDTF">2026-05-04T15:31:27.420Z</dcterms:modified>
</cp:coreProperties>
</file>

<file path=docProps/custom.xml><?xml version="1.0" encoding="utf-8"?>
<Properties xmlns="http://schemas.openxmlformats.org/officeDocument/2006/custom-properties" xmlns:vt="http://schemas.openxmlformats.org/officeDocument/2006/docPropsVTypes"/>
</file>