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ТЕХНИЧЕСКОГО ОБСЛУЖИВАНИЯ</w:t>
      </w:r>
    </w:p>
    <w:p>
      <w:pPr>
        <w:jc w:val="center"/>
      </w:pPr>
      <w:r>
        <w:rPr>
          <w:b/>
        </w:rPr>
        <w:t>№ 105/26 от 28.02.2026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АО «Городские системы»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«ПрофКонсалт»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Сумма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180 000,00 руб.</w:t>
            </w:r>
          </w:p>
        </w:tc>
      </w:tr>
    </w:tbl>
    <w:p>
      <w:pPr>
        <w:pStyle w:val="Heading1"/>
      </w:pPr>
      <w:r>
        <w:t>1 Предмет договора</w:t>
      </w:r>
    </w:p>
    <w:p>
      <w:r>
        <w:t>Исполнитель обязуется выполнить техническое обслуживание оборудования,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Сумма договора: 180 000,00 руб.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АО «Городские системы»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«ПрофКонсалт»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