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243746"/>
          <w:sz w:val="29"/>
        </w:rPr>
        <w:t>ДОГОВОР ТЕХНИЧЕСКОЙ ПОДДЕРЖКИ</w:t>
      </w:r>
    </w:p>
    <w:p>
      <w:pPr>
        <w:jc w:val="right"/>
      </w:pPr>
      <w:r>
        <w:rPr>
          <w:rFonts w:ascii="Arial" w:hAnsi="Arial"/>
          <w:b w:val="0"/>
          <w:sz w:val="21"/>
        </w:rPr>
        <w:t>Дата оформления: «14» сентября 2026 г.</w:t>
      </w:r>
    </w:p>
    <w:p>
      <w:pPr>
        <w:jc w:val="both"/>
      </w:pPr>
      <w:r>
        <w:rPr>
          <w:rFonts w:ascii="Arial" w:hAnsi="Arial"/>
          <w:b w:val="0"/>
          <w:sz w:val="21"/>
        </w:rPr>
        <w:t>Заказчик: ООО «Точная механика»; Исполнитель: ООО «Кодовая мастерская». После согласования условий документу присвоен № ЛЦ-В-115.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1. Предмет договора</w:t>
      </w:r>
    </w:p>
    <w:p>
      <w:pPr>
        <w:jc w:val="both"/>
      </w:pPr>
      <w:r>
        <w:rPr>
          <w:rFonts w:ascii="Arial" w:hAnsi="Arial"/>
          <w:b w:val="0"/>
          <w:sz w:val="21"/>
        </w:rPr>
        <w:t>Исполнитель обязуется обеспечить поддержку информационной системы, а Заказчик обязуется принять надлежащее исполнение.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2. Порядок исполнения</w:t>
      </w:r>
    </w:p>
    <w:p>
      <w:pPr>
        <w:jc w:val="both"/>
      </w:pPr>
      <w:r>
        <w:rPr>
          <w:rFonts w:ascii="Arial" w:hAnsi="Arial"/>
          <w:b w:val="0"/>
          <w:sz w:val="21"/>
        </w:rPr>
        <w:t>Сроки отдельных этапов определяются календарным планом. Результат передаётся по акту, замечания оформляются письменно.</w:t>
      </w:r>
    </w:p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3. График платежей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Этап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Доля</w:t>
            </w:r>
          </w:p>
        </w:tc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Сумма договора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Аванс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40%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578 900 (НДС не облагается)</w:t>
            </w:r>
          </w:p>
        </w:tc>
      </w:tr>
      <w:tr>
        <w:tc>
          <w:tcPr>
            <w:tcW w:type="dxa" w:w="3408"/>
            <w:vAlign w:val="center"/>
            <w:shd w:fill="EAD1DC"/>
          </w:tcPr>
          <w:p>
            <w:r/>
            <w:r>
              <w:rPr>
                <w:rFonts w:ascii="Arial" w:hAnsi="Arial"/>
                <w:b/>
                <w:sz w:val="19"/>
              </w:rPr>
              <w:t>Окончательный расчёт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60%</w:t>
            </w:r>
          </w:p>
        </w:tc>
        <w:tc>
          <w:tcPr>
            <w:tcW w:type="dxa" w:w="3408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в пределах общей цены</w:t>
            </w:r>
          </w:p>
        </w:tc>
      </w:tr>
    </w:tbl>
    <w:p>
      <w:pPr>
        <w:spacing w:before="160" w:after="80"/>
      </w:pPr>
      <w:r>
        <w:rPr>
          <w:rFonts w:ascii="Arial" w:hAnsi="Arial"/>
          <w:b/>
          <w:color w:val="263746"/>
          <w:sz w:val="23"/>
        </w:rPr>
        <w:t>4. Ответственность и срок действия</w:t>
      </w:r>
    </w:p>
    <w:p>
      <w:pPr>
        <w:jc w:val="both"/>
      </w:pPr>
      <w:r>
        <w:rPr>
          <w:rFonts w:ascii="Arial" w:hAnsi="Arial"/>
          <w:b w:val="0"/>
          <w:sz w:val="21"/>
        </w:rPr>
        <w:t>Стороны несут ответственность в соответствии с законодательством Российской Федерации. Договор действует до полного исполнения обязательств.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Заказчик</w:t>
            </w:r>
          </w:p>
        </w:tc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Исполнитель</w:t>
            </w:r>
          </w:p>
        </w:tc>
      </w:tr>
      <w:tr>
        <w:tc>
          <w:tcPr>
            <w:tcW w:type="dxa" w:w="5112"/>
            <w:vAlign w:val="center"/>
            <w:shd w:fill="DCE6F1"/>
          </w:tcPr>
          <w:p>
            <w:r/>
            <w:r>
              <w:rPr>
                <w:rFonts w:ascii="Arial" w:hAnsi="Arial"/>
                <w:b/>
                <w:sz w:val="19"/>
              </w:rPr>
              <w:t>ООО «Точная механика»</w:t>
            </w:r>
          </w:p>
        </w:tc>
        <w:tc>
          <w:tcPr>
            <w:tcW w:type="dxa" w:w="5112"/>
            <w:vAlign w:val="center"/>
          </w:tcPr>
          <w:p>
            <w:r/>
            <w:r>
              <w:rPr>
                <w:rFonts w:ascii="Arial" w:hAnsi="Arial"/>
                <w:b w:val="0"/>
                <w:sz w:val="19"/>
              </w:rPr>
              <w:t>ООО «Кодовая мастерская»</w:t>
            </w:r>
          </w:p>
        </w:tc>
      </w:tr>
    </w:tbl>
    <w:sectPr w:rsidR="00FC693F" w:rsidRPr="0006063C" w:rsidSect="00034616">
      <w:footerReference w:type="default" r:id="rId9"/>
      <w:pgSz w:w="12240" w:h="15840"/>
      <w:pgMar w:top="792" w:right="1008" w:bottom="835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b w:val="0"/>
        <w:color w:val="777777"/>
        <w:sz w:val="15"/>
      </w:rPr>
      <w:t>Синтетический учебный документ • юридической силы не имеет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