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ЗАЙМА</w:t>
      </w:r>
    </w:p>
    <w:p>
      <w:pPr>
        <w:jc w:val="right"/>
      </w:pPr>
      <w:r>
        <w:rPr>
          <w:rFonts w:ascii="Arial" w:hAnsi="Arial"/>
          <w:b w:val="0"/>
          <w:sz w:val="21"/>
        </w:rPr>
        <w:t>Дата оформления: «14» октября 2026 г.</w:t>
      </w:r>
    </w:p>
    <w:p>
      <w:pPr>
        <w:jc w:val="both"/>
      </w:pPr>
      <w:r>
        <w:rPr>
          <w:rFonts w:ascii="Arial" w:hAnsi="Arial"/>
          <w:b w:val="0"/>
          <w:sz w:val="21"/>
        </w:rPr>
        <w:t>Заёмщик: АО «ЭнергоКонтур»; Займодавец: ООО «ЭкоТранс». После согласования условий документу присвоен № ЛЦ-А-125.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Займодавец обязуется передать денежные средства на условиях возвратности, а Заёмщик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График платежей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Этап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Доля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Сумма договора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Аванс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1 680 000 (НДС не облагается)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Окончательный расчёт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 пределах общей цены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Заёмщик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Займодавец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«ЭнергоКонтур»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«ЭкоТранс»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