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ХРАНЕНИЯ</w:t>
      </w:r>
    </w:p>
    <w:p>
      <w:pPr>
        <w:jc w:val="left"/>
      </w:pPr>
      <w:r>
        <w:rPr>
          <w:rFonts w:ascii="Arial" w:hAnsi="Arial"/>
          <w:b w:val="0"/>
          <w:sz w:val="21"/>
        </w:rPr>
        <w:t>г. Новосибирск                                              07/11/2026</w:t>
      </w:r>
    </w:p>
    <w:p>
      <w:pPr>
        <w:jc w:val="center"/>
      </w:pPr>
      <w:r>
        <w:rPr>
          <w:rFonts w:ascii="Arial" w:hAnsi="Arial"/>
          <w:b/>
          <w:sz w:val="24"/>
        </w:rPr>
        <w:t>КОНТРАКТ № SLA.39-11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Хранитель обязуется принять имущество на ответственное хранение, а Поклажедатель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Принять имущество на ответственное хранение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4 890 000.00 RUB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Поклажедатель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Хранитель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ООО «Склад 54»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«РемТехСнаб»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