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ЭНЕРГОСНАБЖЕНИЯ</w:t>
      </w:r>
    </w:p>
    <w:p>
      <w:pPr>
        <w:jc w:val="right"/>
      </w:pPr>
      <w:r>
        <w:rPr>
          <w:rFonts w:ascii="Arial" w:hAnsi="Arial"/>
          <w:b w:val="0"/>
          <w:sz w:val="21"/>
        </w:rPr>
        <w:t>Дата оформления: «13» ноября 2026 г.</w:t>
      </w:r>
    </w:p>
    <w:p>
      <w:pPr>
        <w:jc w:val="both"/>
      </w:pPr>
      <w:r>
        <w:rPr>
          <w:rFonts w:ascii="Arial" w:hAnsi="Arial"/>
          <w:b w:val="0"/>
          <w:sz w:val="21"/>
        </w:rPr>
        <w:t>Абонент: ООО «Точная механика»; Гарантирующий поставщик: ООО «Кодовая мастерская». После согласования условий документу присвоен № ЛЦ-К-135.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Гарантирующий поставщик обязуется осуществлять снабжение электрической энергией, а Абонент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3. График платежей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Этап</w:t>
            </w:r>
          </w:p>
        </w:tc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Доля</w:t>
            </w:r>
          </w:p>
        </w:tc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Сумма договора</w:t>
            </w:r>
          </w:p>
        </w:tc>
      </w:tr>
      <w:tr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Аванс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6 150 750 (НДС не облагается)</w:t>
            </w:r>
          </w:p>
        </w:tc>
      </w:tr>
      <w:tr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Окончательный расчёт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60%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в пределах общей цены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Абонент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Гарантирующий поставщик</w:t>
            </w:r>
          </w:p>
        </w:tc>
      </w:tr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ООО «Точная механика»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«Кодовая мастерская»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