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ОХРАННЫХ УСЛУГ</w:t>
      </w:r>
    </w:p>
    <w:p>
      <w:pPr>
        <w:jc w:val="right"/>
      </w:pPr>
      <w:r>
        <w:rPr>
          <w:rFonts w:ascii="Arial" w:hAnsi="Arial"/>
          <w:b w:val="0"/>
          <w:sz w:val="21"/>
        </w:rPr>
        <w:t>2026-12-19 • Новосибирск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подтверждают намерение сотрудничать на условиях настоящего документа. Регистрационный номер будет указан после преамбулы.</w:t>
      </w:r>
    </w:p>
    <w:p>
      <w:pPr>
        <w:jc w:val="center"/>
      </w:pPr>
      <w:r>
        <w:rPr>
          <w:rFonts w:ascii="Arial" w:hAnsi="Arial"/>
          <w:b w:val="0"/>
          <w:sz w:val="21"/>
        </w:rPr>
        <w:t>№ 67-КП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Охранная организация обязуется обеспечить охрану объекта и пропускной режим,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Обеспечить охрану объекта и пропускной режим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41 000 000 руб. 00 коп.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Охранная организация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«Чистый офис»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ИП Смирнова Елена Олеговна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