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ДОСТАВКИ</w:t>
      </w:r>
    </w:p>
    <w:p>
      <w:pPr>
        <w:jc w:val="left"/>
      </w:pPr>
      <w:r>
        <w:rPr>
          <w:rFonts w:ascii="Arial" w:hAnsi="Arial"/>
          <w:b w:val="0"/>
          <w:sz w:val="21"/>
        </w:rPr>
        <w:t>г. Новосибирск                                              06/01/2027</w:t>
      </w:r>
    </w:p>
    <w:p>
      <w:pPr>
        <w:jc w:val="center"/>
      </w:pPr>
      <w:r>
        <w:rPr>
          <w:rFonts w:ascii="Arial" w:hAnsi="Arial"/>
          <w:b/>
          <w:sz w:val="24"/>
        </w:rPr>
        <w:t>КОНТРАКТ № SLA.59-1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Служба доставки обязуется осуществлять курьерскую доставку отправлений,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Осуществлять курьерскую доставку отправлений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94 000 000.00 RUB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Служба доставки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«Склад 54»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«РемТехСнаб»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