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E5496"/>
          <w:sz w:val="24"/>
          <w:szCs w:val="24"/>
        </w:rPr>
        <w:t xml:space="preserve">Adobe Experience Manager → Edge Delivery Services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Migration Discovery &amp; Analysis Report</w:t>
      </w:r>
    </w:p>
    <w:p>
      <w:pPr>
        <w:spacing w:after="0" w:before="240"/>
        <w:jc w:val="center"/>
      </w:pPr>
      <w:r>
        <w:rPr>
          <w:rFonts w:ascii="Calibri" w:cs="Calibri" w:eastAsia="Calibri" w:hAnsi="Calibri"/>
          <w:color w:val="404040"/>
          <w:sz w:val="26"/>
          <w:szCs w:val="26"/>
        </w:rPr>
        <w:t xml:space="preserve">Diners Club Japan  •  TRUST CLUB (Sumitomo Mitsui Trust Club)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color w:val="808080"/>
          <w:sz w:val="20"/>
          <w:szCs w:val="20"/>
        </w:rPr>
        <w:t xml:space="preserve">www.diners.co.jp  |  www.sumitclub.jp</w:t>
      </w:r>
    </w:p>
    <w:p>
      <w:pPr>
        <w:spacing w:after="0" w:before="1400"/>
        <w:jc w:val="center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Prepared for: Migration Planning Team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Date: 16 June 2026</w:t>
      </w:r>
    </w:p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Executive Summary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report consolidates the discovery findings for two related properties — diners.co.jp (Diners Club Japan) and sumitclub.jp (TRUST CLUB) — and translates them into a structured migration plan for Adobe Edge Delivery Services (EDS / Document-based authoring).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Both sites are sister properties operated by Sumitomo Mitsui Trust Club and are currently built on the same classic Adobe Experience Manager (AEM 6.x) platform. This is a material finding: they share one common component library (the "CCM" component set), one header/footer/navigation system, AEM Core Components (cmp-*), and near-identical page-construction patterns. The two sites therefore behave as a single migration program with a shared block library, not two independent projects.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Key facts at a glance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Diners Club (diners.co.jp)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TRUST CLUB (sumitclub.jp)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Combined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Total published pages (sitemap)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1,765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2,204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template (AEM)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diners-club_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trust-club_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 variants, 1 base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Underlying platform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AEM 6.x (classic)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AEM 6.x (classic)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Shared instance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Distinct content templates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(shared model)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Blocks (team discovery / EDS target)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 / 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 / 35 (shared)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EDS blocks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Auto-migratable share (est.)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~88%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~85%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~87%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Languages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Japanese (+EN sub)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Japanese + English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JA primary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/>
      </w:r>
    </w:p>
    <w:p>
      <w:pPr>
        <w:spacing w:after="120" w:before="6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Headline estimate: the combined program is estimated at approximately 103–133 working days of effort (≈ 4.5–6 calendar months with a small dedicated team), with roughly 87% of pages eligible for automated, parser-driven migration and the remainder requiring manual / assisted handling (application flows, member-only "Club Online" areas, iframe-embedded forms, and heavily designed campaign landing pages).</w:t>
      </w:r>
    </w:p>
    <w:p>
      <w:pPr>
        <w:pBdr>
          <w:left w:val="single" w:color="2E5496" w:sz="18"/>
        </w:pBdr>
        <w:shd w:fill="F2F5FB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  Note on the supplied spreadsheet: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Section 2 is built on the team’s "Post Discovery – Analysis.xlsx" Sheet 1 (53 blocks), reproduced in full (2.1) and then reconciled against the live sites and consolidated to 35 EDS blocks (2.2–2.3). Sheet 2 (integrations) was not visible in the supplied screenshot; the integrations catalogue (2.4) is assembled from the block-list notes plus live observation — please confirm it against Sheet 2 to close any gaps.</w:t>
      </w:r>
    </w:p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Templates Inventory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Although both sites technically render through a single AEM page template (diners-club_ / trust-club_) built on a flexible parsys/responsive-grid, the content falls into eight recurring authoring patterns. For migration planning these patterns are the meaningful "templates": they determine the parser logic and the EDS section model. Complexity reflects layout variability, dynamic behaviour, and embedded integrations — not page count.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1.1  Diners Club (diners.co.jp)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URLs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— Homepage / Section Landing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 carousel (slick), audience navigation, "important notices" feed, news list, promo grids. Many distinct blocks; mostly one-off layout.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https://www.diners.co.jp/ja/index.html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https://www.diners.co.jp/ja/travel.html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https://www.diners.co.jp/ja/gourmet.html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 — Card Detail / Product Page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Long-form product page: card-spec tables, fee tables, comparison sliders, FAQ, embedded application CTAs and iframes. Richest component mix on the site.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https://www.diners.co.jp/ja/cardlineup/dinersclubcard.html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https://www.diners.co.jp/ja/cardlineup/anadiners_new.html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T3 — Card Lineup / Comparison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Filterable card grid, dropdown filters, comparison tables, tabs. Standardised but interactive.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https://www.diners.co.jp/ja/cardlineup/comparison.html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— Benefit / Service Detail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Standardised content body: intro, image+text blocks, link lists, accordions. 473 pages, very consistent structure → high auto-migration.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https://www.diners.co.jp/ja/benefit.html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https://www.diners.co.jp/ja/benefit/stock.html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— Magazine / Editorial Article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Editorial layout: rich text, full-width imagery, pull quotes, related-article cards, occasional video. 603 pages — the largest single group.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https://www.diners.co.jp/ja/magazine.html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https://www.diners.co.jp/ja/magazine/library.html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— Press / Notice Article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article: title, date, body copy, occasional table/PDF link. Highly uniform → ideal for automated migration.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https://www.diners.co.jp/ja/press.html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https://www.diners.co.jp/ja/press/inf_20260601.html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— Legal / Policy / Info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rich-text: terms, privacy, prospectus. Tables but no interactivity. Fully auto-migratable.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https://www.diners.co.jp/ja/privacy.html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https://www.diners.co.jp/ja/tc.html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T8 — Sitemap / Index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Auto-style link directory. One page; trivial to rebuild.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https://www.diners.co.jp/ja/sitemap.html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— Application / Form / Member (special)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application ("nyukai"), contact, 3-D Secure registration, "Club Online" member area. Forms are iframe-embedded external systems → out of CMS scope; landing wrappers migrate, the flows do not.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https://www.diners.co.jp/ja/cardlineup/nyukai.html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https://www.diners.co.jp/ja/contact.html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https://www.diners.co.jp/ja/usage/3d_secure/new_registration.html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1.2  TRUST CLUB (sumitclub.jp)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TRUST CLUB uses the same eight patterns (same component library and header/footer), so the template definitions above apply directly. The notable site-specific groups are below.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</w:t>
            </w:r>
          </w:p>
        </w:tc>
        <w:tc>
          <w:tcPr>
            <w:tcW w:type="pct" w:w="1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Complexity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Reference URLs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— Homepage / Section Landing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Hero, recommended-cards grid, service &amp; support grid, notices, FAQ promo. Same block family as Diners.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https://www.sumitclub.jp/ja/index.html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https://www.sumitclub.jp/ja/travel.html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 — Card Detail / Product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spec, fee tables, benefits, application CTA. Mirrors Diners T2.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https://www.sumitclub.jp/ja/cardlineup/world.html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https://www.sumitclub.jp/ja/cardlineup/platinummaster.html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— Benefit / Service Detail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/ gourmet / point / insurance service pages. Consistent structure.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https://www.sumitclub.jp/ja/travel/airport/airportlounge.html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https://www.sumitclub.jp/ja/insurance/buyers.html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— Notice Article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notices (104 pages) — uniform, fully auto-migratable.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https://www.sumitclub.jp/ja/notice/inf_20260601.html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— Legal / Policy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Terms, privacy, prospectus, anti-social-forces policy.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https://www.sumitclub.jp/ja/privacy.html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https://www.sumitclub.jp/ja/tc.html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— Member / Login / Application (special)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"loginPage" tree (41 pages) and Club Online member area — iframe / external application system. Public wrappers migrate; secured flows are out of scope.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https://www.sumitclub.jp/ja/cardlineup/nyukai.html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https://www.sumitclub.jp/ja/loginPage.html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T10 — Corporate Site (sub-site)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Separate /corporate tree (company info, news, sustainability) with EN mirror. ~87 pages; standard editorial/landing mix.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https://www.sumitclub.jp/ja/corporate_site.html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https://www.sumitclub.jp/corporate/kaizen/2204.html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Blocks / Components Catalog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This section takes the team’s discovery catalogue from "Post Discovery – Analysis.xlsx" (Sheet 1 — 53 blocks) as the baseline, reproduces it faithfully (2.1), then applies the guidance to prefer design variations over net-new blocks and reconciles it against the live sites (2.2). The result is a leaner recommended EDS block library (2.3). Section 2.4 catalogues the third-party integrations.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2.1  Team discovery baseline (Sheet 1 — 53 blocks)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Reproduced from the supplied workbook. "C/C" = Core or Custom; "Var" = number of style variations identified; "SV" indicates whether the style variation was measured in the existing AEM library.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pct" w:w="9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Diff.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C/C</w:t>
            </w:r>
          </w:p>
        </w:tc>
        <w:tc>
          <w:tcPr>
            <w:tcW w:type="pct" w:w="5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</w:t>
            </w:r>
          </w:p>
        </w:tc>
        <w:tc>
          <w:tcPr>
            <w:tcW w:type="pct" w:w="5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Linked feature / note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Centered / Small. HTML editability TBC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Headings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H1–H4 / Centered / Thumbnail. Heading icon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Inline / Phone number. Targeting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Normal(S) / Numbering. Auto-index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Links Description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 + description list. Not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 style / centered / 100% etc. Benefit-detail gallery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Divider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divider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Columns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Grid / left-aligned grid. Important notices auto-index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CTA(S/L) / normal. Card application / QSRF / KARTE / Targeting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Share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SNS share button. Share-button JS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Details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Open-close (details)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Phrase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type / P type. COL phrase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Anker Navigation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Anchor nav auto-generation JS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 set (fontello → standard)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video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YouTube embed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MV slide (carousel 1-col) / SP segment. Dedicated Hero not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Accordion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Default / exclusive open-close. cmp-accordion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Normal / SP accordion. Benefit-detail plan tabs / Auto-index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/ 2-col non-stacking on SP. HTML authoring TBC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Section Metadata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Member-type &amp; PC/SP segmentation. Partly in library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edit / auto-index / JS+JSON. teaser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Card Info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Campaign list / event list (CIX012). AES-autoi CSS only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Benefit Step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Step layout (Cards variant). Named variant not in library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Card Lineup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lineup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Magazine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Magazine (Cards variant)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Privilege Icon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Privilege icon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Prize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Prize (Cards variant)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Service Introduction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intro (Cards variant)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Carousel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/ 3 / 4-col slide. AES-carousel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Fragment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/ contact-common. Header segmentation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/ travel / service. Menu handling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DPC / RPC / general / corporate. Cookie detection, custom JS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Left Menu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PC menu / SP 2nd menu (JS). Indiv-corp segmentation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Breadcrumbs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Individual / corporate co-display / mid-category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modal. FAQ / Travel desk / Airport lounge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Style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Per-page custom style (~3 pages). MV segmentation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sitemap.xml (custom) / sitemap page. Auto-generation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FAQ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button (Helpfeel). May be unnecessary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Float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Floating button auto-display / QSRF Linker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Clipboard Copy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Copy button (Clipboard API)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 Pages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Related-pages list. Current-page exclusion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 (i-search)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 Insite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search, card-type cookie variable (i-search)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Recommended travel info / scrollbar. XML-driven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 Custom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HTML-only / HTML+CSS/JS. Receiver for packaged HTML + legacy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Benefit Detail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Gourmet / other / domestic / overseas. Shop JSON, member seg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Campaign Event Benefit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Campaign/event (CIX012/013). query-index fetch, 2-system merge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 Event Report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Report list / top display. eventList.json fetch, JS+JSON sort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Announcement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Year-based accordion / count flat. AES-list-notice measured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 Maps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googleapis. JS API init, key/domain restriction, CSP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Domestic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Domestic (CDN010). XML-driven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International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Custom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airport-list / detail. DCI API + App Builder relay, CORS/auth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2.2  Reconciliation against the live sites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Having inspected both live sites, the team’s catalogue is accurate and thorough — the live DOM confirms the AEM Core Components (cmp-*), the CCM/AES custom set, and the carousel/accordion/tab behaviours listed. Applying the "variants over new blocks" principle, several entries are structurally identical and should collapse into a single EDS block addressed by named variants. A small number of clarifications are added from the live findings.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Affected entries</w:t>
            </w:r>
          </w:p>
        </w:tc>
        <w:tc>
          <w:tcPr>
            <w:tcW w:type="pct" w:w="5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Recommendation &amp; rationale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#22–29 (Cards + 6 "Cards X" variants) and #48, #49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Single "Cards" block. The team already labels #24–29 as Cards variants; #23/#48/#49 are data-driven variants (auto-index / JSON fetch). Model as one block: variants = manual, auto-index, json. Net: 10 entries → 1 block (+ variants). Biggest single reduction.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#9, #10, #39, #40, #41 (Buttons family)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Single "Button" block with variants (cta, share, faq, float, copy). Share/FAQ/float/copy differ only by a small JS behaviour attached to the same model. Net: 5 → 1.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#43, #44 (Search, Search Insite)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"Search" block; the card-type cookie is a config option, not a second block. Net: 2 → 1.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#16, #46 (Embed, Embed Custom)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"Embed" block, variants = youtube, html, html+js. Net: 2 → 1.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CONSOLIDATE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#52, #53 (Airport Lounge Domestic / International)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One "Airport Lounge" block with domestic/international variants; both are API/XML-driven lists. Net: 2 → 1. (Still High effort — keep as integration.)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GROUP (chrome)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#31–35 (Fragment, Footer, Header, Left Menu, Breadcrumbs)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Treat as the shared navigation/chrome system, built once per brand and reused. In EDS these are nav + footer + fragments, not per-page content blocks.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MERGE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#5 into #4 (Lists)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"Lists Links Description" is a Lists variant (link + description). Net: 2 → 1.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CONFIRM (keep)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#47 Benefit Detail, #50 Lists Announcement, #51 Google Maps, #45 Travel Desk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Genuinely distinct High-complexity blocks (member-segmented shop data, year-grouped notices, Maps JS API, XML travel feed). Keep as first-class blocks.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NO ADDITIONS NEEDED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The live audit surfaced no block missing from the team’s list. Items I might otherwise add (notice feed, iframe form wrapper, card-spec) are already covered by #50, #46 and #47 respectively.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2.3  Recommended consolidated EDS block library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After the reconciliation, the 53 discovery entries map to ≈ 30 EDS blocks (the difference being variants rather than separate blocks). This is the recommended build list.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EDS Block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pct" w:w="4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Replaces (Sheet 1 #)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Headings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Links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4, 5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Divider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Columns / Section layout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9, 10, 39, 40, 41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/ Details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Phrase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Anchor Navigation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Icons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Video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</w:t>
            </w:r>
          </w:p>
        </w:tc>
        <w:tc>
          <w:tcPr>
            <w:shd w:fill="C6E0B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16, 46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Hero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Low-Med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Accordion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Section Metadata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Medium-High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22–29, 48, 49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Carousel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 (chrome)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33, 34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 (chrome)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Fragment (chrome)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Breadcrumbs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Modal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Page Style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Sitemap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Related Pages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43, 44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</w:t>
            </w:r>
          </w:p>
        </w:tc>
        <w:tc>
          <w:tcPr>
            <w:shd w:fill="FFE69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Medium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Benefit Detail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Lists Announcement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Google Maps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51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</w:t>
            </w:r>
          </w:p>
        </w:tc>
        <w:tc>
          <w:tcPr>
            <w:shd w:fill="F8CBA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52, 53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Result: 53 discovery entries → 35 EDS blocks (≈ 34% fewer), with no loss of functionality. 14 Low, 13 Medium, 1 Low-Med / Medium-High, 7 High.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2.4  Integrations catalog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The supplied workbook lists integrations on Sheet 2 (not visible in the provided screenshot). The catalogue below is assembled from the integration notes embedded in the block list plus the third-party services observed loading on the live sites. Please confirm against Sheet 2 to close any gaps.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Integration</w:t>
            </w:r>
          </w:p>
        </w:tc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by / where</w:t>
            </w:r>
          </w:p>
        </w:tc>
        <w:tc>
          <w:tcPr>
            <w:tcW w:type="pct" w:w="3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impact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Adobe Analytics / DTM (Launch)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 tag (satelliteLib / adobedtm)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tag via EDS head/scripts.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Adobe Experience Cloud ID (adobe_mc)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Cross-domain links diners ↔ sumitclub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Preserve cross-domain identity params. Low-Med.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Google Tag Manager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container.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Meta (Facebook) Pixel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Sitewide marketing tag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Logly / ad &amp; DSP pixels (bidswitch, adnxs, ladsp)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Marketing/retargeting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Re-add tags; verify consent.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Helpfeel (cards-faq-custhelp)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FAQ buttons (#39), "よくあるご質問"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FAQ service; link/embed only.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i-search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Site search (#43, #44)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Search service integration; re-wire query + cookie variant. Medium.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Google Maps JavaScript API (#51)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Store/location maps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key, domain restriction, CSP entry. Medium-High.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DCI API + Adobe App Builder relay (#53)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Airport lounge international list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CORS/auth via App Builder; keep relay or re-point. High.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XML / JSON content feeds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Travel desk (#45), airport (#52), shop data (#47), query-index (#48), eventList.json (#49)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Re-create feeds or fetch logic in block JS. Medium-High per feed.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Club Online (WA2010101 / member system)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 CTA, member area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application; link out only — out of CMS scope. N/A.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Remote Operator (rmop.jp)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Footer support tool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External link. Low.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 / on-site personalisation &amp; Targeting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Buttons (#9), Links (#3)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Re-instrument personalisation tags. Medium.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QSRF Linker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Card application / float button (#40)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Application-flow linker; preserve params. Medium.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Clipboard API (#41)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Copy button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Native browser API; trivial. Low.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fontello icon set (#14)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Iconography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Migrate to standard icon sprite/SVG. Low.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Page Counts by Template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Counts are derived from the live XML sitemaps (diners.co.jp = 1,765 URLs; sumitclub.jp = 352 main + 87 corporate = 439 URLs). Migration mode reflects structural uniformity: uniform, content-driven pages are parser-automatable; pages with bespoke layout, heavy interactivity or external integrations need manual / assisted work.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3.1  Diners Club (diners.co.jp) — 1,765 pages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 / Section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Pages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 pattern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Magazine (editorial)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603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Uniform editorial structure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/ja/magazine/**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Benefit / Service detail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473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Highly consistent body layout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/ja/benefit/**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Press / Notice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/ja/press/** (e.g. inf_YYYYMMDD.html)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Event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Landing + detail, standard blocks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/ja/event/**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Travel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pages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/ja/travel/**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T5 Lifestyle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Editorial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/ja/lifestyle/**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T2/T3 Card Lineup &amp;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Tables, comparison, application CTAs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/ja/cardlineup/**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T1/T10 Corporate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content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/ja/corporate/**, /ja/corporate.html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Merchant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Service/info pages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/ja/merchant/**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Usage / Guides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3DS &amp; registration = manual; rest auto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/ja/usage/** (incl. /usage/3d_secure/**)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Point / Gourmet / Golf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/ja/point/**, /ja/gourmet/**, /ja/golf/**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Campaign (cpn_evt)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LP styling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/ja/cpn_evt/**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Shopping/Finance/Insurance/Kameiten/Payment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/ja/shopping/**, /ja/finance/**, /ja/insurance/**, /ja/kameiten/**, /ja/payment/**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Legal / Policy / About / Sponsorship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 text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/ja/privacy*.html, /ja/tc.html, /ja/smallprint*, /ja/about/**, /ja/sponsorship*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Homepage + misc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homepage layout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/ja/index.html, /ja/*.html (top-level)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Diners split: ≈ 1,556 automated (88%) · ≈ 209 manual / assisted (12%).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3.2  TRUST CLUB (sumitclub.jp) — 439 pages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Template / Section</w:t>
            </w:r>
          </w:p>
        </w:tc>
        <w:tc>
          <w:tcPr>
            <w:tcW w:type="pct" w:w="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Pages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URL pattern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T6 Notice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Dated text articles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/ja/notice/** (e.g. inf_YYYYMMDD.html)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Login / Member area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Out-of-scope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iframe / external auth system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/ja/loginPage/**, /ja/loginPage.html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Travel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/ja/travel/**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T9/T4 Usage / Guides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Some external links/forms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/ja/usage/**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T2/T3 Card Lineup &amp;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Spec/fee tables, application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/ja/cardlineup/**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Point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/ja/point/**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T4 Insurance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/ja/insurance/**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T7 Legal / Policy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Plain rich text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/ja/privacy*.html, /ja/tc.html, /ja/smallprint*, /ja/cnasp.html, /ja/aasfp.html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T1/T4 Entertainment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Service detail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/ja/entertainment/**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Campaign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Bespoke LP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/ja/campaign/**, /ja/campaign.html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T9 Contact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Manual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iframe form wrappers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/ja/contact.html, /ja/contact_form.html, /ja/contact/**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 Home + Gourmet + misc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Mixed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Homepage bespoke; rest auto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/ja/index.html, /ja/gourmet/**, /ja/*.html (top-level)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T10 Corporate sub-site (ja+en)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Automated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Standard editorial/landing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/corporate/**, /ja/corporate_site/**, /en/**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TRUST CLUB split: ≈ 373 automated (85%) · ≈ 66 manual / assisted / out-of-scope (15%).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3.3  Combined totals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Migration Mode</w:t>
            </w:r>
          </w:p>
        </w:tc>
        <w:tc>
          <w:tcPr>
            <w:tcW w:type="pct" w:w="1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Diners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TRUST CLUB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Combined</w:t>
            </w:r>
          </w:p>
        </w:tc>
        <w:tc>
          <w:tcPr>
            <w:tcW w:type="pct" w:w="1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Share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 (parser-driven)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1,556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373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1,929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~87%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 / Assisted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209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66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275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~13%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Total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1,765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439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2,204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5496" w:sz="12"/>
        </w:pBdr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Migration Estimates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Estimates assume the EDS Document-based authoring model with a bulk import pipeline (block parsers + page transformers), a shared block library reused across both brands, and one combined program. Effort is expressed in person-days (1 day = 8h). Ranges reflect low / high confidence.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4.1  Effort breakdown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 Stream</w:t>
            </w:r>
          </w:p>
        </w:tc>
        <w:tc>
          <w:tcPr>
            <w:tcW w:type="pct" w:w="5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Effort (days)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Discovery &amp; setup (done/finalise)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Template confirmation, block inventory reconciliation, EDS project scaffold, import infra.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 – 8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Block library development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EDS blocks (14 Low, 13 Medium, 7 High incl. Benefit Detail, Lists Announcement, Google Maps, Airport Lounge), variants, CSS/JS. Reused across both brands.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30 – 38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Parser / transformer development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Per-template parsers (8 patterns) + cleanup/section transformers.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 – 13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Automated content migration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~1,929 pages via bulk import, batched by template, with spot-fixing.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– 16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Manual / assisted migration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~275 pages: card detail/spec, campaigns, homepages, iframe-form wrappers, member-area landings.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– 26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Navigation, header &amp; footer instrumentation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Desktop + mobile + mega-menu per brand; footer link columns.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 – 7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QA &amp; testing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Visual regression, link/redirect checks, responsive + accessibility, content parity sampling.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12 – 15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Project management &amp; UAT support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Coordination, stakeholder reviews, go-live support.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 – 10</w:t>
            </w:r>
          </w:p>
        </w:tc>
      </w:tr>
    </w:tbl>
    <w:p>
      <w:pPr>
        <w:spacing w:after="120" w:before="8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Total estimated effort: ≈ 103 – 133 person-days (midpoint ≈ 118 days).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4.2  Indicative schedule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pct" w:w="32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Calendar duration</w:t>
            </w:r>
          </w:p>
        </w:tc>
        <w:tc>
          <w:tcPr>
            <w:tcW w:type="pct" w:w="30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Parallelism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0 — Setup &amp; reconciliation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1–2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Lead + 1 dev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1 — Blocks + parsers (both brands)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2–7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 devs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2 — Automated bulk migration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6–10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dev + 1 author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3 — Manual / assisted pages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8–14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1–2 authors/devs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4 — Nav/header/footer + integrations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9–13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dev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Phase 5 — QA, UAT &amp; go-live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Weeks 13–18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team + QA</w:t>
            </w:r>
          </w:p>
        </w:tc>
      </w:tr>
    </w:tbl>
    <w:p>
      <w:pPr>
        <w:spacing w:after="120" w:before="60"/>
        <w:jc w:val="left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Overall timeline: ≈ 4.5 – 6 calendar months with a 2–3 person core team (some phases overlap).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4.3  Indicative cost</w:t>
      </w:r>
    </w:p>
    <w:p>
      <w:pPr>
        <w:spacing w:after="80" w:before="60"/>
        <w:jc w:val="left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Cost uses a blended rate placeholder; replace with the contracted day-rate to finalise. Calculation: midpoint effort 118 days.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Blended day-rate (placeholder)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 (103 d)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Midpoint (118 d)</w:t>
            </w:r>
          </w:p>
        </w:tc>
        <w:tc>
          <w:tcPr>
            <w:tcW w:type="pct" w:w="24%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 (133 d)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$800 / day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$82,400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$94,400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$106,400</w:t>
            </w:r>
          </w:p>
        </w:tc>
      </w:tr>
      <w:tr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$1,000 / day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$103,000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$118,000</w:t>
            </w:r>
          </w:p>
        </w:tc>
        <w:tc>
          <w:tcPr>
            <w:shd w:fill="F2F5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$133,000</w:t>
            </w:r>
          </w:p>
        </w:tc>
      </w:tr>
      <w:tr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$1,200 / day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$123,600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$141,600</w:t>
            </w:r>
          </w:p>
        </w:tc>
        <w:tc>
          <w:tcPr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$159,600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2E5496"/>
          <w:sz w:val="25"/>
          <w:szCs w:val="25"/>
        </w:rPr>
        <w:t xml:space="preserve">4.4  Key assumptions &amp; risks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Both sites share one component library and chrome — block development is done once and reused, which is the single biggest efficiency in this estimate.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Content freeze (or delta-handling plan) is in place during bulk migration; the 2,204 figure is the current sitemap snapshot and will drift.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Forms (contact, card application, 3-D Secure) and the "Club Online" member area are external/iframe systems and are OUT of content-migration scope — only their wrapper pages migrate. Re-platforming these is a separate workstream if required.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Japanese-language content (and the TRUST CLUB English mirror) imports cleanly; font/typography parity verified in QA.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Estimates exclude net-new design, brand redesign, SEO redirect-map sign-off beyond standard 1:1 mapping, and third-party integration rebuilds (search, analytics tags, ad pixels).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1"/>
          <w:szCs w:val="21"/>
        </w:rPr>
        <w:t xml:space="preserve">PDFs and DAM assets are migrated by reference / bulk asset copy, not re-authored.</w:t>
      </w:r>
    </w:p>
    <w:p>
      <w:pPr>
        <w:spacing w:after="120" w:before="60"/>
        <w:jc w:val="left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/>
      </w:r>
    </w:p>
    <w:p>
      <w:pPr>
        <w:pBdr>
          <w:top w:val="single" w:color="BFBFBF" w:sz="6"/>
        </w:pBdr>
        <w:spacing w:after="60" w:before="160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End of report — figures are planning estimates and should be confirmed against the reconciled discovery spreadsheet and contracted rates.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Diners Club &amp; TRUST CLUB — EDS Migration Analysis</dc:title>
  <dc:creator>Migration Analysis</dc:creator>
  <cp:lastModifiedBy>Un-named</cp:lastModifiedBy>
  <cp:revision>1</cp:revision>
  <dcterms:created xsi:type="dcterms:W3CDTF">2026-06-16T08:13:28.394Z</dcterms:created>
  <dcterms:modified xsi:type="dcterms:W3CDTF">2026-06-16T08:13:28.394Z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