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Calibri" w:cs="Calibri" w:eastAsia="Calibri" w:hAnsi="Calibri"/>
          <w:b/>
          <w:bCs/>
          <w:color w:val="2E5496"/>
          <w:sz w:val="24"/>
          <w:szCs w:val="24"/>
        </w:rPr>
        <w:t xml:space="preserve">Adobe Experience Manager → Edge Delivery Services</w:t>
      </w:r>
    </w:p>
    <w:p>
      <w:pPr>
        <w:spacing w:after="0" w:before="200"/>
        <w:jc w:val="center"/>
      </w:pPr>
      <w:r>
        <w:rPr>
          <w:rFonts w:ascii="Calibri" w:cs="Calibri" w:eastAsia="Calibri" w:hAnsi="Calibri"/>
          <w:b/>
          <w:bCs/>
          <w:color w:val="1F3864"/>
          <w:sz w:val="52"/>
          <w:szCs w:val="52"/>
        </w:rPr>
        <w:t xml:space="preserve">Migration Discovery &amp; Analysis Report</w:t>
      </w:r>
    </w:p>
    <w:p>
      <w:pPr>
        <w:spacing w:after="0" w:before="240"/>
        <w:jc w:val="center"/>
      </w:pPr>
      <w:r>
        <w:rPr>
          <w:rFonts w:ascii="Calibri" w:cs="Calibri" w:eastAsia="Calibri" w:hAnsi="Calibri"/>
          <w:color w:val="404040"/>
          <w:sz w:val="26"/>
          <w:szCs w:val="26"/>
        </w:rPr>
        <w:t xml:space="preserve">Diners Club Japan  •  TRUST CLUB (Sumitomo Mitsui Trust Club)</w:t>
      </w:r>
    </w:p>
    <w:p>
      <w:pPr>
        <w:spacing w:after="0" w:before="120"/>
        <w:jc w:val="center"/>
      </w:pPr>
      <w:r>
        <w:rPr>
          <w:rFonts w:ascii="Calibri" w:cs="Calibri" w:eastAsia="Calibri" w:hAnsi="Calibri"/>
          <w:color w:val="808080"/>
          <w:sz w:val="20"/>
          <w:szCs w:val="20"/>
        </w:rPr>
        <w:t xml:space="preserve">www.diners.co.jp  |  www.sumitclub.jp</w:t>
      </w:r>
    </w:p>
    <w:p>
      <w:pPr>
        <w:spacing w:after="0" w:before="1400"/>
        <w:jc w:val="center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Prepared for: Migration Planning Team</w:t>
      </w:r>
    </w:p>
    <w:p>
      <w:pPr>
        <w:spacing w:after="0" w:before="80"/>
        <w:jc w:val="center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Date: 16 June 2026</w:t>
      </w:r>
    </w:p>
    <w:p>
      <w:r>
        <w:br w:type="page"/>
      </w:r>
    </w:p>
    <w:p>
      <w:pPr>
        <w:pStyle w:val="Heading1"/>
        <w:pBdr>
          <w:bottom w:val="single" w:color="2E5496" w:sz="12"/>
        </w:pBdr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Executive Summary</w:t>
      </w:r>
    </w:p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This report consolidates the discovery findings for two related properties — diners.co.jp (Diners Club Japan) and sumitclub.jp (TRUST CLUB) — and translates them into a structured migration plan for Adobe Edge Delivery Services (EDS / Document-based authoring).</w:t>
      </w:r>
    </w:p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Both sites are sister properties operated by Sumitomo Mitsui Trust Club and are currently built on the same classic Adobe Experience Manager (AEM 6.x) platform. This is a material finding: they share one common component library (the "CCM" component set), one header/footer/navigation system, AEM Core Components (cmp-*), and near-identical page-construction patterns. The two sites therefore behave as a single migration program with a shared block library, not two independent projects.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Key facts at a glance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Diners Club (diners.co.jp)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TRUST CLUB (sumitclub.jp)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Combined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Total published pages (sitemap)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1,765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439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2,204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Page template (AEM)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diners-club_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trust-club_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 variants, 1 base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Underlying platform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AEM 6.x (classic)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AEM 6.x (classic)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Shared instance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Distinct content templates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 (shared model)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Blocks (team discovery / EDS target)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53 / 35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53 / 35 (shared)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 EDS blocks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Auto-migratable share (est.)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~88%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~85%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~87%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Languages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Japanese (+EN sub)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Japanese + English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JA primary</w:t>
            </w:r>
          </w:p>
        </w:tc>
      </w:tr>
    </w:tbl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/>
      </w:r>
    </w:p>
    <w:p>
      <w:pPr>
        <w:spacing w:after="120" w:before="60"/>
        <w:jc w:val="left"/>
      </w:pP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Headline estimate: the combined program is estimated at approximately 103–133 working days of effort (≈ 4.5–6 calendar months with a small dedicated team), with roughly 87% of pages eligible for automated, parser-driven migration and the remainder requiring manual / assisted handling (application flows, member-only "Club Online" areas, iframe-embedded forms, and heavily designed campaign landing pages).</w:t>
      </w:r>
    </w:p>
    <w:p>
      <w:pPr>
        <w:pBdr>
          <w:left w:val="single" w:color="2E5496" w:sz="18"/>
        </w:pBdr>
        <w:shd w:fill="F2F5FB" w:color="auto" w:val="clear"/>
        <w:spacing w:after="120" w:before="12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  Note on the supplied spreadsheet: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Section 2 is built on the team’s "Post Discovery – Analysis.xlsx" Sheet 1 (53 blocks), reproduced in full (2.1) and then reconciled against the live sites and consolidated to 35 EDS blocks (2.2–2.3). Sheet 2 (integrations) was not visible in the supplied screenshot; the integrations catalogue (2.4) is assembled from the block-list notes plus live observation — please confirm it against Sheet 2 to close any gaps.</w:t>
      </w:r>
    </w:p>
    <w:p>
      <w:r>
        <w:br w:type="page"/>
      </w:r>
    </w:p>
    <w:p>
      <w:pPr>
        <w:pStyle w:val="Heading1"/>
        <w:pBdr>
          <w:bottom w:val="single" w:color="2E5496" w:sz="12"/>
        </w:pBdr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Templates Inventory</w:t>
      </w:r>
    </w:p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Although both sites technically render through a single AEM page template (diners-club_ / trust-club_) built on a flexible parsys/responsive-grid, the content falls into eight recurring authoring patterns. For migration planning these patterns are the meaningful "templates": they determine the parser logic and the EDS section model. Complexity reflects layout variability, dynamic behaviour, and embedded integrations — not page count.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1.1  Diners Club (diners.co.jp)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Template</w:t>
            </w:r>
          </w:p>
        </w:tc>
        <w:tc>
          <w:tcPr>
            <w:tcW w:type="pct" w:w="12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Complexity</w:t>
            </w:r>
          </w:p>
        </w:tc>
        <w:tc>
          <w:tcPr>
            <w:tcW w:type="pct" w:w="4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Reasoning</w:t>
            </w:r>
          </w:p>
        </w:tc>
        <w:tc>
          <w:tcPr>
            <w:tcW w:type="pct" w:w="2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Reference URLs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 — Homepage / Section Landing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Hero carousel (slick), audience navigation, "important notices" feed, news list, promo grids. Many distinct blocks; mostly one-off layout.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https://www.diners.co.jp/ja/index.html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https://www.diners.co.jp/ja/travel.html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https://www.diners.co.jp/ja/gourmet.html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T2 — Card Detail / Product Page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Long-form product page: card-spec tables, fee tables, comparison sliders, FAQ, embedded application CTAs and iframes. Richest component mix on the site.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https://www.diners.co.jp/ja/cardlineup/dinersclubcard.html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https://www.diners.co.jp/ja/cardlineup/anadiners_new.html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T3 — Card Lineup / Comparison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Filterable card grid, dropdown filters, comparison tables, tabs. Standardised but interactive.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https://www.diners.co.jp/ja/cardlineup.html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https://www.diners.co.jp/ja/cardlineup/comparison.html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— Benefit / Service Detail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Standardised content body: intro, image+text blocks, link lists, accordions. 473 pages, very consistent structure → high auto-migration.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https://www.diners.co.jp/ja/benefit.html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https://www.diners.co.jp/ja/benefit/stock.html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T5 — Magazine / Editorial Article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Editorial layout: rich text, full-width imagery, pull quotes, related-article cards, occasional video. 603 pages — the largest single group.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https://www.diners.co.jp/ja/magazine.html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https://www.diners.co.jp/ja/magazine/library.html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T6 — Press / Notice Article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Dated text article: title, date, body copy, occasional table/PDF link. Highly uniform → ideal for automated migration.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https://www.diners.co.jp/ja/press.html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https://www.diners.co.jp/ja/press/inf_20260601.html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T7 — Legal / Policy / Info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Plain rich-text: terms, privacy, prospectus. Tables but no interactivity. Fully auto-migratable.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https://www.diners.co.jp/ja/privacy.html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https://www.diners.co.jp/ja/tc.html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T8 — Sitemap / Index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Auto-style link directory. One page; trivial to rebuild.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https://www.diners.co.jp/ja/sitemap.html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 — Application / Form / Member (special)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 application ("nyukai"), contact, 3-D Secure registration, "Club Online" member area. Forms are iframe-embedded external systems → out of CMS scope; landing wrappers migrate, the flows do not.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https://www.diners.co.jp/ja/cardlineup/nyukai.html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https://www.diners.co.jp/ja/contact.html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https://www.diners.co.jp/ja/usage/3d_secure/new_registration.html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1.2  TRUST CLUB (sumitclub.jp)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TRUST CLUB uses the same eight patterns (same component library and header/footer), so the template definitions above apply directly. The notable site-specific groups are below.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Template</w:t>
            </w:r>
          </w:p>
        </w:tc>
        <w:tc>
          <w:tcPr>
            <w:tcW w:type="pct" w:w="12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Complexity</w:t>
            </w:r>
          </w:p>
        </w:tc>
        <w:tc>
          <w:tcPr>
            <w:tcW w:type="pct" w:w="4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Reasoning</w:t>
            </w:r>
          </w:p>
        </w:tc>
        <w:tc>
          <w:tcPr>
            <w:tcW w:type="pct" w:w="2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Reference URLs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 — Homepage / Section Landing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Hero, recommended-cards grid, service &amp; support grid, notices, FAQ promo. Same block family as Diners.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https://www.sumitclub.jp/ja/index.html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https://www.sumitclub.jp/ja/travel.html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T2 — Card Detail / Product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 spec, fee tables, benefits, application CTA. Mirrors Diners T2.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https://www.sumitclub.jp/ja/cardlineup/world.html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https://www.sumitclub.jp/ja/cardlineup/platinummaster.html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— Benefit / Service Detail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Travel / gourmet / point / insurance service pages. Consistent structure.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https://www.sumitclub.jp/ja/travel/airport/airportlounge.html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https://www.sumitclub.jp/ja/insurance/buyers.html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T6 — Notice Article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Dated notices (104 pages) — uniform, fully auto-migratable.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https://www.sumitclub.jp/ja/notice/inf_20260601.html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T7 — Legal / Policy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Terms, privacy, prospectus, anti-social-forces policy.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https://www.sumitclub.jp/ja/privacy.html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https://www.sumitclub.jp/ja/tc.html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 — Member / Login / Application (special)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"loginPage" tree (41 pages) and Club Online member area — iframe / external application system. Public wrappers migrate; secured flows are out of scope.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https://www.sumitclub.jp/ja/cardlineup/nyukai.html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https://www.sumitclub.jp/ja/loginPage.html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T10 — Corporate Site (sub-site)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Separate /corporate tree (company info, news, sustainability) with EN mirror. ~87 pages; standard editorial/landing mix.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https://www.sumitclub.jp/ja/corporate_site.html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https://www.sumitclub.jp/corporate/kaizen/2204.html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5496" w:sz="12"/>
        </w:pBdr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Blocks / Components Catalog</w:t>
      </w:r>
    </w:p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This section takes the team’s discovery catalogue from "Post Discovery – Analysis.xlsx" (Sheet 1 — 53 blocks) as the baseline, reproduces it faithfully (2.1), then applies the guidance to prefer design variations over net-new blocks and reconciles it against the live sites (2.2). The result is a leaner recommended EDS block library (2.3). Section 2.4 catalogues the third-party integrations.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2.1  Team discovery baseline (Sheet 1 — 53 blocks)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Reproduced from the supplied workbook. "C/C" = Core or Custom; "Var" = number of style variations identified; "SV" indicates whether the style variation was measured in the existing AEM library.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22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Block</w:t>
            </w:r>
          </w:p>
        </w:tc>
        <w:tc>
          <w:tcPr>
            <w:tcW w:type="pct" w:w="9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Diff.</w:t>
            </w:r>
          </w:p>
        </w:tc>
        <w:tc>
          <w:tcPr>
            <w:tcW w:type="pct" w:w="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C/C</w:t>
            </w:r>
          </w:p>
        </w:tc>
        <w:tc>
          <w:tcPr>
            <w:tcW w:type="pct" w:w="5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Var</w:t>
            </w:r>
          </w:p>
        </w:tc>
        <w:tc>
          <w:tcPr>
            <w:tcW w:type="pct" w:w="52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Linked feature / note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Normal / Centered / Small. HTML editability TBC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Headings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H1–H4 / Centered / Thumbnail. Heading icon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Links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Normal / Inline / Phone number. Targeting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Normal / Normal(S) / Numbering. Auto-index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Lists Links Description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Link + description list. Not in library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 style / centered / 100% etc. Benefit-detail gallery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Divider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Standard divider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Columns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Low-Med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Grid / left-aligned grid. Important notices auto-index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Buttons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CTA(S/L) / normal. Card application / QSRF / KARTE / Targeting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Buttons Share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SNS share button. Share-button JS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FAQ Details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Open-close (details)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Phrase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type / P type. COL phrase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Anker Navigation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Anchor nav auto-generation JS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Icons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Icon set (fontello → standard)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Video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Standard video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Embed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YouTube embed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Hero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Low-Med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MV slide (carousel 1-col) / SP segment. Dedicated Hero not in library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Accordion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Default / exclusive open-close. cmp-accordion measured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Tabs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Normal / SP accordion. Benefit-detail plan tabs / Auto-index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Table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Standard / 2-col non-stacking on SP. HTML authoring TBC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Section Metadata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Member-type &amp; PC/SP segmentation. Partly in library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 edit / auto-index / JS+JSON. teaser measured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Card Info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Campaign list / event list (CIX012). AES-autoi CSS only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Benefit Step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Step layout (Cards variant). Named variant not in library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Card Lineup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 lineup (Cards variant)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Magazine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Magazine (Cards variant)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Privilege Icon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Privilege icon (Cards variant)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Prize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Prize (Cards variant)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Service Introduction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intro (Cards variant)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Carousel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/ 3 / 4-col slide. AES-carousel measured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Fragment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Individual / corporate / contact-common. Header segmentation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Footer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Individual / corporate / travel / service. Menu handling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DPC / RPC / general / corporate. Cookie detection, custom JS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Left Menu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PC menu / SP 2nd menu (JS). Indiv-corp segmentation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Breadcrumbs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Individual / corporate co-display / mid-category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Modal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Standard modal. FAQ / Travel desk / Airport lounge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Page Style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Per-page custom style (~3 pages). MV segmentation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Sitemap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sitemap.xml (custom) / sitemap page. Auto-generation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Buttons FAQ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FAQ button (Helpfeel). May be unnecessary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Buttons Float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Floating button auto-display / QSRF Linker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Buttons Clipboard Copy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Copy button (Clipboard API)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Related Pages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Related-pages list. Current-page exclusion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Search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 search (i-search)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Search Insite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 search, card-type cookie variable (i-search)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Travel Desk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Recommended travel info / scrollbar. XML-driven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Embed Custom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HTML-only / HTML+CSS/JS. Receiver for packaged HTML + legacy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Benefit Detail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Gourmet / other / domestic / overseas. Shop JSON, member seg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Campaign Event Benefit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Campaign/event (CIX012/013). query-index fetch, 2-system merge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Event Report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Report list / top display. eventList.json fetch, JS+JSON sort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Lists Announcement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Year-based accordion / count flat. AES-list-notice measured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Google Maps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googleapis. JS API init, key/domain restriction, CSP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Airport Lounge Domestic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Domestic (CDN010). XML-driven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Airport Lounge International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airport-list / detail. DCI API + App Builder relay, CORS/auth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2.2  Reconciliation against the live sites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Having inspected both live sites, the team’s catalogue is accurate and thorough — the live DOM confirms the AEM Core Components (cmp-*), the CCM/AES custom set, and the carousel/accordion/tab behaviours listed. Applying the "variants over new blocks" principle, several entries are structurally identical and should collapse into a single EDS block addressed by named variants. A small number of clarifications are added from the live findings.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2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Affected entries</w:t>
            </w:r>
          </w:p>
        </w:tc>
        <w:tc>
          <w:tcPr>
            <w:tcW w:type="pct" w:w="5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Recommendation &amp; rationale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CONSOLIDATE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#22–29 (Cards + 6 "Cards X" variants) and #48, #49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Single "Cards" block. The team already labels #24–29 as Cards variants; #23/#48/#49 are data-driven variants (auto-index / JSON fetch). Model as one block: variants = manual, auto-index, json. Net: 10 entries → 1 block (+ variants). Biggest single reduction.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CONSOLIDATE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#9, #10, #39, #40, #41 (Buttons family)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Single "Button" block with variants (cta, share, faq, float, copy). Share/FAQ/float/copy differ only by a small JS behaviour attached to the same model. Net: 5 → 1.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CONSOLIDATE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#43, #44 (Search, Search Insite)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One "Search" block; the card-type cookie is a config option, not a second block. Net: 2 → 1.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CONSOLIDATE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#16, #46 (Embed, Embed Custom)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One "Embed" block, variants = youtube, html, html+js. Net: 2 → 1.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CONSOLIDATE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#52, #53 (Airport Lounge Domestic / International)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One "Airport Lounge" block with domestic/international variants; both are API/XML-driven lists. Net: 2 → 1. (Still High effort — keep as integration.)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GROUP (chrome)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#31–35 (Fragment, Footer, Header, Left Menu, Breadcrumbs)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Treat as the shared navigation/chrome system, built once per brand and reused. In EDS these are nav + footer + fragments, not per-page content blocks.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MERGE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#5 into #4 (Lists)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"Lists Links Description" is a Lists variant (link + description). Net: 2 → 1.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CONFIRM (keep)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#47 Benefit Detail, #50 Lists Announcement, #51 Google Maps, #45 Travel Desk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Genuinely distinct High-complexity blocks (member-segmented shop data, year-grouped notices, Maps JS API, XML travel feed). Keep as first-class blocks.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NO ADDITIONS NEEDED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The live audit surfaced no block missing from the team’s list. Items I might otherwise add (notice feed, iframe form wrapper, card-spec) are already covered by #50, #46 and #47 respectively.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2.3  Recommended consolidated EDS block library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After the reconciliation, the 53 discovery entries map to ≈ 30 EDS blocks (the difference being variants rather than separate blocks). This is the recommended build list.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EDS Block</w:t>
            </w:r>
          </w:p>
        </w:tc>
        <w:tc>
          <w:tcPr>
            <w:tcW w:type="pct" w:w="1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pct" w:w="4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Replaces (Sheet 1 #)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Headings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Links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4, 5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Divider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Columns / Section layout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Button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9, 10, 39, 40, 41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FAQ / Details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Phrase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Anchor Navigation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Icons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Video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Embed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16, 46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Hero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Low-Med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Accordion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Tabs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Table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Section Metadata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Medium-High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22–29, 48, 49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Carousel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 (chrome)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33, 34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Footer (chrome)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Fragment (chrome)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Breadcrumbs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Modal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Page Style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37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Sitemap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38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Related Pages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Search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43, 44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Travel Desk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Benefit Detail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47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Lists Announcement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Google Maps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51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Airport Lounge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52, 53</w:t>
            </w:r>
          </w:p>
        </w:tc>
      </w:tr>
    </w:tbl>
    <w:p>
      <w:pPr>
        <w:spacing w:after="120" w:before="6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Result: 53 discovery entries → 35 EDS blocks (≈ 34% fewer), with no loss of functionality. 14 Low, 13 Medium, 1 Low-Med / Medium-High, 7 High.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2.4  Integrations catalog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The supplied workbook lists integrations on Sheet 2 (not visible in the provided screenshot). The catalogue below is assembled from the integration notes embedded in the block list plus the third-party services observed loading on the live sites. Please confirm against Sheet 2 to close any gaps.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Integration</w:t>
            </w:r>
          </w:p>
        </w:tc>
        <w:tc>
          <w:tcPr>
            <w:tcW w:type="pct" w:w="3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Used by / where</w:t>
            </w:r>
          </w:p>
        </w:tc>
        <w:tc>
          <w:tcPr>
            <w:tcW w:type="pct" w:w="3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Migration impact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Adobe Analytics / DTM (Launch)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Sitewide tag (satelliteLib / adobedtm)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Re-add tag via EDS head/scripts. Low.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Adobe Experience Cloud ID (adobe_mc)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Cross-domain links diners ↔ sumitclub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Preserve cross-domain identity params. Low-Med.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Google Tag Manager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Sitewide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Re-add container. Low.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Meta (Facebook) Pixel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Sitewide marketing tag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Re-add. Low.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Logly / ad &amp; DSP pixels (bidswitch, adnxs, ladsp)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Marketing/retargeting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Re-add tags; verify consent. Low.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Helpfeel (cards-faq-custhelp)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FAQ buttons (#39), "よくあるご質問"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External FAQ service; link/embed only. Low.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i-search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 search (#43, #44)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Search service integration; re-wire query + cookie variant. Medium.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Google Maps JavaScript API (#51)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Store/location maps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key, domain restriction, CSP entry. Medium-High.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DCI API + Adobe App Builder relay (#53)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Airport lounge international list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CORS/auth via App Builder; keep relay or re-point. High.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XML / JSON content feeds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Travel desk (#45), airport (#52), shop data (#47), query-index (#48), eventList.json (#49)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Re-create feeds or fetch logic in block JS. Medium-High per feed.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Club Online (WA2010101 / member system)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 CTA, member area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External application; link out only — out of CMS scope. N/A.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Remote Operator (rmop.jp)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Footer support tool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External link. Low.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KARTE / on-site personalisation &amp; Targeting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Buttons (#9), Links (#3)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Re-instrument personalisation tags. Medium.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QSRF Linker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 application / float button (#40)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Application-flow linker; preserve params. Medium.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Clipboard API (#41)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Copy button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Native browser API; trivial. Low.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fontello icon set (#14)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Iconography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Migrate to standard icon sprite/SVG. Low.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5496" w:sz="12"/>
        </w:pBdr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Page Counts by Template</w:t>
      </w:r>
    </w:p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Counts are derived from the live XML sitemaps (diners.co.jp = 1,765 URLs; sumitclub.jp = 352 main + 87 corporate = 439 URLs). Migration mode reflects structural uniformity: uniform, content-driven pages are parser-automatable; pages with bespoke layout, heavy interactivity or external integrations need manual / assisted work.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3.1  Diners Club (diners.co.jp) — 1,765 pages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Template / Section</w:t>
            </w:r>
          </w:p>
        </w:tc>
        <w:tc>
          <w:tcPr>
            <w:tcW w:type="pct" w:w="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Pages</w:t>
            </w:r>
          </w:p>
        </w:tc>
        <w:tc>
          <w:tcPr>
            <w:tcW w:type="pct" w:w="1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Migration Mode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Basis</w:t>
            </w:r>
          </w:p>
        </w:tc>
        <w:tc>
          <w:tcPr>
            <w:tcW w:type="pct" w:w="2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URL pattern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T5 Magazine (editorial)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603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Uniform editorial structure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/ja/magazine/**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Benefit / Service detail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473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Highly consistent body layout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/ja/benefit/**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T6 Press / Notice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173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Dated text articles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/ja/press/** (e.g. inf_YYYYMMDD.html)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T1/T4 Event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Landing + detail, standard blocks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/ja/event/**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T1/T4 Travel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pages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/ja/travel/**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T5 Lifestyle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Editorial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/ja/lifestyle/**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T2/T3 Card Lineup &amp; Detail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 / Assisted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Tables, comparison, application CTAs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/ja/cardlineup/**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T1/T10 Corporate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Standard content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/ja/corporate/**, /ja/corporate.html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Merchant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Service/info pages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/ja/merchant/**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 Usage / Guides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Mixed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3DS &amp; registration = manual; rest auto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/ja/usage/** (incl. /usage/3d_secure/**)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Point / Gourmet / Golf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detail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/ja/point/**, /ja/gourmet/**, /ja/golf/**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 Campaign (cpn_evt)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 / Assisted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Bespoke LP styling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/ja/cpn_evt/**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Shopping/Finance/Insurance/Kameiten/Payment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detail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/ja/shopping/**, /ja/finance/**, /ja/insurance/**, /ja/kameiten/**, /ja/payment/**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T7 Legal / Policy / About / Sponsorship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Plain rich text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/ja/privacy*.html, /ja/tc.html, /ja/smallprint*, /ja/about/**, /ja/sponsorship*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 Homepage + misc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 / Assisted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Bespoke homepage layout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/ja/index.html, /ja/*.html (top-level)</w:t>
            </w:r>
          </w:p>
        </w:tc>
      </w:tr>
    </w:tbl>
    <w:p>
      <w:pPr>
        <w:spacing w:after="120" w:before="6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Diners split: ≈ 1,556 automated (88%) · ≈ 209 manual / assisted (12%).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3.2  TRUST CLUB (sumitclub.jp) — 439 pages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Template / Section</w:t>
            </w:r>
          </w:p>
        </w:tc>
        <w:tc>
          <w:tcPr>
            <w:tcW w:type="pct" w:w="12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Pages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Migration Mode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Basis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T6 Notice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104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Dated text articles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 Login / Member area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 / Out-of-scope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iframe / external auth system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Travel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detail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T9/T4 Usage / Guides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Mixed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Some external links/forms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T2/T3 Card Lineup &amp; Detail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 / Assisted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Spec/fee tables, application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Point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detail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Insurance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detail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T7 Legal / Policy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Plain rich text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T1/T4 Entertainment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detail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 Campaign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 / Assisted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Bespoke LP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 Contact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iframe form wrappers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 Home + Gourmet + misc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Mixed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Homepage bespoke; rest auto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T10 Corporate sub-site (ja+en)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Standard editorial/landing</w:t>
            </w:r>
          </w:p>
        </w:tc>
      </w:tr>
    </w:tbl>
    <w:p>
      <w:pPr>
        <w:spacing w:after="120" w:before="6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TRUST CLUB split: ≈ 373 automated (85%) · ≈ 66 manual / assisted / out-of-scope (15%).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3.3  Combined totals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Migration Mode</w:t>
            </w:r>
          </w:p>
        </w:tc>
        <w:tc>
          <w:tcPr>
            <w:tcW w:type="pct" w:w="1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Diners</w:t>
            </w:r>
          </w:p>
        </w:tc>
        <w:tc>
          <w:tcPr>
            <w:tcW w:type="pct" w:w="1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TRUST CLUB</w:t>
            </w:r>
          </w:p>
        </w:tc>
        <w:tc>
          <w:tcPr>
            <w:tcW w:type="pct" w:w="1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Combined</w:t>
            </w:r>
          </w:p>
        </w:tc>
        <w:tc>
          <w:tcPr>
            <w:tcW w:type="pct" w:w="1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Share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Automated (parser-driven)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1,556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373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1,929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~87%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Manual / Assisted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209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275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~13%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Total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1,765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439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2,204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100%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5496" w:sz="12"/>
        </w:pBdr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Migration Estimates</w:t>
      </w:r>
    </w:p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Estimates assume the EDS Document-based authoring model with a bulk import pipeline (block parsers + page transformers), a shared block library reused across both brands, and one combined program. Effort is expressed in person-days (1 day = 8h). Ranges reflect low / high confidence.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4.1  Effort breakdown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Work Stream</w:t>
            </w:r>
          </w:p>
        </w:tc>
        <w:tc>
          <w:tcPr>
            <w:tcW w:type="pct" w:w="5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Effort (days)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Discovery &amp; setup (done/finalise)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Template confirmation, block inventory reconciliation, EDS project scaffold, import infra.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 – 8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Block library development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 EDS blocks (14 Low, 13 Medium, 7 High incl. Benefit Detail, Lists Announcement, Google Maps, Airport Lounge), variants, CSS/JS. Reused across both brands.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30 – 38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Parser / transformer development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Per-template parsers (8 patterns) + cleanup/section transformers.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 – 13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Automated content migration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~1,929 pages via bulk import, batched by template, with spot-fixing.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 – 16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Manual / assisted migration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~275 pages: card detail/spec, campaigns, homepages, iframe-form wrappers, member-area landings.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– 26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Navigation, header &amp; footer instrumentation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Desktop + mobile + mega-menu per brand; footer link columns.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 – 7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QA &amp; testing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Visual regression, link/redirect checks, responsive + accessibility, content parity sampling.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 – 15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Project management &amp; UAT support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Coordination, stakeholder reviews, go-live support.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 – 10</w:t>
            </w:r>
          </w:p>
        </w:tc>
      </w:tr>
    </w:tbl>
    <w:p>
      <w:pPr>
        <w:spacing w:after="120" w:before="8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Total estimated effort: ≈ 103 – 133 person-days (midpoint ≈ 118 days).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4.2  Indicative schedule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pct" w:w="32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Calendar duration</w:t>
            </w:r>
          </w:p>
        </w:tc>
        <w:tc>
          <w:tcPr>
            <w:tcW w:type="pct" w:w="3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Parallelism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Phase 0 — Setup &amp; reconciliation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Weeks 1–2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Lead + 1 dev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Phase 1 — Blocks + parsers (both brands)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Weeks 2–7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 devs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Phase 2 — Automated bulk migration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Weeks 6–10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dev + 1 author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Phase 3 — Manual / assisted pages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Weeks 8–14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1–2 authors/devs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Phase 4 — Nav/header/footer + integrations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Weeks 9–13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dev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Phase 5 — QA, UAT &amp; go-live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Weeks 13–18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Full team + QA</w:t>
            </w:r>
          </w:p>
        </w:tc>
      </w:tr>
    </w:tbl>
    <w:p>
      <w:pPr>
        <w:spacing w:after="120" w:before="6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Overall timeline: ≈ 4.5 – 6 calendar months with a 2–3 person core team (some phases overlap).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4.3  Indicative cost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i/>
          <w:iCs/>
          <w:color w:val="000000"/>
          <w:sz w:val="21"/>
          <w:szCs w:val="21"/>
        </w:rPr>
        <w:t xml:space="preserve">Cost uses a blended rate placeholder; replace with the contracted day-rate to finalise. Calculation: midpoint effort 118 days.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Blended day-rate (placeholder)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Low (103 d)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Midpoint (118 d)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High (133 d)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$800 / day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$82,400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$94,400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$106,400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$1,000 / day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$103,000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$118,000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$133,000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$1,200 / day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$123,600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$141,600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$159,600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4.4  Key assumptions &amp; risks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1"/>
          <w:szCs w:val="21"/>
        </w:rPr>
        <w:t xml:space="preserve">Both sites share one component library and chrome — block development is done once and reused, which is the single biggest efficiency in this estimate.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1"/>
          <w:szCs w:val="21"/>
        </w:rPr>
        <w:t xml:space="preserve">Content freeze (or delta-handling plan) is in place during bulk migration; the 2,204 figure is the current sitemap snapshot and will drift.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1"/>
          <w:szCs w:val="21"/>
        </w:rPr>
        <w:t xml:space="preserve">Forms (contact, card application, 3-D Secure) and the "Club Online" member area are external/iframe systems and are OUT of content-migration scope — only their wrapper pages migrate. Re-platforming these is a separate workstream if required.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1"/>
          <w:szCs w:val="21"/>
        </w:rPr>
        <w:t xml:space="preserve">Japanese-language content (and the TRUST CLUB English mirror) imports cleanly; font/typography parity verified in QA.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1"/>
          <w:szCs w:val="21"/>
        </w:rPr>
        <w:t xml:space="preserve">Estimates exclude net-new design, brand redesign, SEO redirect-map sign-off beyond standard 1:1 mapping, and third-party integration rebuilds (search, analytics tags, ad pixels).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1"/>
          <w:szCs w:val="21"/>
        </w:rPr>
        <w:t xml:space="preserve">PDFs and DAM assets are migrated by reference / bulk asset copy, not re-authored.</w:t>
      </w:r>
    </w:p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/>
      </w:r>
    </w:p>
    <w:p>
      <w:pPr>
        <w:pBdr>
          <w:top w:val="single" w:color="BFBFBF" w:sz="6"/>
        </w:pBdr>
        <w:spacing w:after="60" w:before="160"/>
      </w:pP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End of report — figures are planning estimates and should be confirmed against the reconciled discovery spreadsheet and contracted rates.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Diners Club &amp; TRUST CLUB — EDS Migration Analysis</dc:title>
  <dc:creator>Migration Analysis</dc:creator>
  <cp:lastModifiedBy>Un-named</cp:lastModifiedBy>
  <cp:revision>1</cp:revision>
  <dcterms:created xsi:type="dcterms:W3CDTF">2026-06-16T08:10:15.836Z</dcterms:created>
  <dcterms:modified xsi:type="dcterms:W3CDTF">2026-06-16T08:10:15.836Z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