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TRUST CLUB / Sumitomo Mitsui Trust Club (www.sumitclub.jp)</w:t>
      </w:r>
    </w:p>
    <w:p>
      <w:pPr>
        <w:pStyle w:val="Heading1"/>
        <w:jc w:val="center"/>
      </w:pPr>
      <w:r>
        <w:t>Adobe Edge Delivery Services (EDS) Migration Analysis</w:t>
      </w:r>
    </w:p>
    <w:p/>
    <w:p>
      <w:pPr>
        <w:jc w:val="center"/>
      </w:pPr>
      <w:r>
        <w:rPr>
          <w:b/>
        </w:rPr>
        <w:t>Date: June 2026</w:t>
        <w:br/>
      </w:r>
      <w:r>
        <w:t>Source URL: https://www.sumitclub.jp/</w:t>
        <w:br/>
      </w:r>
      <w:r>
        <w:t>Total pages analyzed (from sitemap): 439</w:t>
        <w:br/>
      </w:r>
      <w:r>
        <w:t>Operator: Sumitomo Mitsui Trust Club Co., Ltd.</w:t>
        <w:br/>
      </w:r>
      <w:r>
        <w:t>Source platform: Adobe Experience Manager (AEM Sites)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Executive Summary</w:t>
      </w:r>
    </w:p>
    <w:p>
      <w:pPr>
        <w:pStyle w:val="ListNumber"/>
      </w:pPr>
      <w:r>
        <w:t>2. Templates Inventory</w:t>
      </w:r>
    </w:p>
    <w:p>
      <w:pPr>
        <w:pStyle w:val="ListNumber"/>
      </w:pPr>
      <w:r>
        <w:t>3. Blocks / Components Catalog</w:t>
      </w:r>
    </w:p>
    <w:p>
      <w:pPr>
        <w:pStyle w:val="ListNumber"/>
      </w:pPr>
      <w:r>
        <w:t>4. Page Counts by Template &amp; Migration Approach</w:t>
      </w:r>
    </w:p>
    <w:p>
      <w:pPr>
        <w:pStyle w:val="ListNumber"/>
      </w:pPr>
      <w:r>
        <w:t>5. Integrations Analysis</w:t>
      </w:r>
    </w:p>
    <w:p>
      <w:pPr>
        <w:pStyle w:val="ListNumber"/>
      </w:pPr>
      <w:r>
        <w:t>6. Migration Estimates</w:t>
      </w:r>
    </w:p>
    <w:p>
      <w:pPr>
        <w:pStyle w:val="ListNumber"/>
      </w:pPr>
      <w:r>
        <w:t>7. Assumptions &amp; Notes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www.sumitclub.jp is the TRUST CLUB website operated by Sumitomo Mitsui Trust Club Co., Ltd. (SMTC), the same company behind www.diners.co.jp. It runs on the same Adobe Experience Manager platform and shares header/footer Experience Fragments and the Club Online member system with its sister site.</w:t>
      </w:r>
    </w:p>
    <w:p>
      <w:r>
        <w:t>The live sitemap exposes 439 published pages across both the Japanese (/ja/) and English (/en/) locales plus a no-locale corporate area. Unlike diners.co.jp, the estate is smaller but structurally more heterogeneous: it contains four distinct page "shells" (standard /ja/, corporate-site, minimal application/help microsites, and a legacy /en/ shell) plus 40 login/member-system pages and a legacy table-based insurance microsite.</w:t>
      </w:r>
    </w:p>
    <w:p>
      <w:r>
        <w:t>Because of this shell fragmentation, a larger share of pages (~32%) needs manual or assisted handling, and several page families (login pages, verification microsites, system error pages) are functional rather than editorial and may be out of scope or re-pointed to external systems. The standardized usage/how-to, notice, and corporate content remains a good fit for automated import.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pages (sitemap)</w:t>
            </w:r>
          </w:p>
        </w:tc>
        <w:tc>
          <w:tcPr>
            <w:tcW w:type="dxa" w:w="4320"/>
          </w:tcPr>
          <w:p>
            <w:r>
              <w:t>439</w:t>
            </w:r>
          </w:p>
        </w:tc>
      </w:tr>
      <w:tr>
        <w:tc>
          <w:tcPr>
            <w:tcW w:type="dxa" w:w="4320"/>
          </w:tcPr>
          <w:p>
            <w:r>
              <w:t>Unique page templates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Reusable blocks / components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Auto-migratable pages</w:t>
            </w:r>
          </w:p>
        </w:tc>
        <w:tc>
          <w:tcPr>
            <w:tcW w:type="dxa" w:w="4320"/>
          </w:tcPr>
          <w:p>
            <w:r>
              <w:t>≈ 300 (68%)</w:t>
            </w:r>
          </w:p>
        </w:tc>
      </w:tr>
      <w:tr>
        <w:tc>
          <w:tcPr>
            <w:tcW w:type="dxa" w:w="4320"/>
          </w:tcPr>
          <w:p>
            <w:r>
              <w:t>Manual / assisted pages</w:t>
            </w:r>
          </w:p>
        </w:tc>
        <w:tc>
          <w:tcPr>
            <w:tcW w:type="dxa" w:w="4320"/>
          </w:tcPr>
          <w:p>
            <w:r>
              <w:t>≈ 139 (32%)</w:t>
            </w:r>
          </w:p>
        </w:tc>
      </w:tr>
      <w:tr>
        <w:tc>
          <w:tcPr>
            <w:tcW w:type="dxa" w:w="4320"/>
          </w:tcPr>
          <w:p>
            <w:r>
              <w:t>Estimated total effort</w:t>
            </w:r>
          </w:p>
        </w:tc>
        <w:tc>
          <w:tcPr>
            <w:tcW w:type="dxa" w:w="4320"/>
          </w:tcPr>
          <w:p>
            <w:r>
              <w:t>≈ 60–74 person-days</w:t>
            </w:r>
          </w:p>
        </w:tc>
      </w:tr>
      <w:tr>
        <w:tc>
          <w:tcPr>
            <w:tcW w:type="dxa" w:w="4320"/>
          </w:tcPr>
          <w:p>
            <w:r>
              <w:t>Estimated schedule</w:t>
            </w:r>
          </w:p>
        </w:tc>
        <w:tc>
          <w:tcPr>
            <w:tcW w:type="dxa" w:w="4320"/>
          </w:tcPr>
          <w:p>
            <w:r>
              <w:t>≈ 9–11 weeks (2–2.5 months)</w:t>
            </w:r>
          </w:p>
        </w:tc>
      </w:tr>
    </w:tbl>
    <w:p>
      <w:r>
        <w:br w:type="page"/>
      </w:r>
    </w:p>
    <w:p>
      <w:pPr>
        <w:pStyle w:val="Heading1"/>
      </w:pPr>
      <w:r>
        <w:t>2. Templates Inventory</w:t>
      </w:r>
    </w:p>
    <w:p>
      <w:r>
        <w:t>Twelve template / page families were identified across the 439 pages. The site uses four different page "shells" (standard, corporate, minimal microsite, legacy /en/), which is the main driver of complexity.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Template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Complexity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Reasoning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Reference URLs</w:t>
            </w:r>
          </w:p>
        </w:tc>
      </w:tr>
      <w:tr>
        <w:tc>
          <w:tcPr>
            <w:tcW w:type="dxa" w:w="2160"/>
          </w:tcPr>
          <w:p>
            <w:r>
              <w:t>Homepage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Hero/banner, segment links, notice ribbon, news feed, promo cards. One-off layout.</w:t>
            </w:r>
          </w:p>
        </w:tc>
        <w:tc>
          <w:tcPr>
            <w:tcW w:type="dxa" w:w="2160"/>
          </w:tcPr>
          <w:p>
            <w:r>
              <w:t>https://www.sumitclub.jp/ja/index.html</w:t>
            </w:r>
          </w:p>
        </w:tc>
      </w:tr>
      <w:tr>
        <w:tc>
          <w:tcPr>
            <w:tcW w:type="dxa" w:w="2160"/>
          </w:tcPr>
          <w:p>
            <w:r>
              <w:t>Category / Service / How-to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Standard /ja/ shell content: usage, travel, point, insurance, entertainment, campaign. Page heading, sub-nav, image+text, step blocks, tables, CTA (175 pages).</w:t>
            </w:r>
          </w:p>
        </w:tc>
        <w:tc>
          <w:tcPr>
            <w:tcW w:type="dxa" w:w="2160"/>
          </w:tcPr>
          <w:p>
            <w:r>
              <w:t>https://www.sumitclub.jp/ja/usage/clubonline.html</w:t>
              <w:br/>
              <w:t>https://www.sumitclub.jp/ja/travel/airport.html</w:t>
            </w:r>
          </w:p>
        </w:tc>
      </w:tr>
      <w:tr>
        <w:tc>
          <w:tcPr>
            <w:tcW w:type="dxa" w:w="2160"/>
          </w:tcPr>
          <w:p>
            <w:r>
              <w:t>Article / News detail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Dated notice articles incl. /en/ locale: date, title, rich text (109 pages).</w:t>
            </w:r>
          </w:p>
        </w:tc>
        <w:tc>
          <w:tcPr>
            <w:tcW w:type="dxa" w:w="2160"/>
          </w:tcPr>
          <w:p>
            <w:r>
              <w:t>https://www.sumitclub.jp/en/notice/20190301.html</w:t>
            </w:r>
          </w:p>
        </w:tc>
      </w:tr>
      <w:tr>
        <w:tc>
          <w:tcPr>
            <w:tcW w:type="dxa" w:w="2160"/>
          </w:tcPr>
          <w:p>
            <w:r>
              <w:t>Corporate info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Corporate-site shell (separate header/nav/footer): company overview, philosophy, message, locations, service/SDGs pages (60 pages).</w:t>
            </w:r>
          </w:p>
        </w:tc>
        <w:tc>
          <w:tcPr>
            <w:tcW w:type="dxa" w:w="2160"/>
          </w:tcPr>
          <w:p>
            <w:r>
              <w:t>https://www.sumitclub.jp/ja/corporate_site/company/overview.html</w:t>
            </w:r>
          </w:p>
        </w:tc>
      </w:tr>
      <w:tr>
        <w:tc>
          <w:tcPr>
            <w:tcW w:type="dxa" w:w="2160"/>
          </w:tcPr>
          <w:p>
            <w:r>
              <w:t>Login / Member system page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Club Online member-system screens (WA######## ids). System-generated, authenticated, dynamic — not editorial content (40 pages).</w:t>
            </w:r>
          </w:p>
        </w:tc>
        <w:tc>
          <w:tcPr>
            <w:tcW w:type="dxa" w:w="2160"/>
          </w:tcPr>
          <w:p>
            <w:r>
              <w:t>https://www.sumitclub.jp/ja/loginPage/WA20501040002A.html</w:t>
            </w:r>
          </w:p>
        </w:tc>
      </w:tr>
      <w:tr>
        <w:tc>
          <w:tcPr>
            <w:tcW w:type="dxa" w:w="2160"/>
          </w:tcPr>
          <w:p>
            <w:r>
              <w:t>Product / Card detail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Card-spec layout: hero, feature/fee tables, related-cards carousel, apply CTA to external entry form (20 pages).</w:t>
            </w:r>
          </w:p>
        </w:tc>
        <w:tc>
          <w:tcPr>
            <w:tcW w:type="dxa" w:w="2160"/>
          </w:tcPr>
          <w:p>
            <w:r>
              <w:t>https://www.sumitclub.jp/ja/cardlineup/deltagold.html</w:t>
            </w:r>
          </w:p>
        </w:tc>
      </w:tr>
      <w:tr>
        <w:tc>
          <w:tcPr>
            <w:tcW w:type="dxa" w:w="2160"/>
          </w:tcPr>
          <w:p>
            <w:r>
              <w:t>Application / Verification microsite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Minimal-chrome shells for identity verification / application help (honninkakunin, ccol bumper pages, id-doc). Often launch external apps via JS (15 pages).</w:t>
            </w:r>
          </w:p>
        </w:tc>
        <w:tc>
          <w:tcPr>
            <w:tcW w:type="dxa" w:w="2160"/>
          </w:tcPr>
          <w:p>
            <w:r>
              <w:t>https://www.sumitclub.jp/ja/honninkakunin.html</w:t>
            </w:r>
          </w:p>
        </w:tc>
      </w:tr>
      <w:tr>
        <w:tc>
          <w:tcPr>
            <w:tcW w:type="dxa" w:w="2160"/>
          </w:tcPr>
          <w:p>
            <w:r>
              <w:t>Legal / Policy text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Long-form text + tables: privacy, small print, terms (7 pages).</w:t>
            </w:r>
          </w:p>
        </w:tc>
        <w:tc>
          <w:tcPr>
            <w:tcW w:type="dxa" w:w="2160"/>
          </w:tcPr>
          <w:p>
            <w:r>
              <w:t>https://www.sumitclub.jp/ja/privacy.html</w:t>
            </w:r>
          </w:p>
        </w:tc>
      </w:tr>
      <w:tr>
        <w:tc>
          <w:tcPr>
            <w:tcW w:type="dxa" w:w="2160"/>
          </w:tcPr>
          <w:p>
            <w:r>
              <w:t>Error / System page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HTTP error pages (400/401/403/404/500/501/503). Platform-level, likely replaced by EDS error handling (7 pages).</w:t>
            </w:r>
          </w:p>
        </w:tc>
        <w:tc>
          <w:tcPr>
            <w:tcW w:type="dxa" w:w="2160"/>
          </w:tcPr>
          <w:p>
            <w:r>
              <w:t>https://www.sumitclub.jp/ja/404.html</w:t>
            </w:r>
          </w:p>
        </w:tc>
      </w:tr>
      <w:tr>
        <w:tc>
          <w:tcPr>
            <w:tcW w:type="dxa" w:w="2160"/>
          </w:tcPr>
          <w:p>
            <w:r>
              <w:t>Contact / Form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Contact directory + form-gateway page that launches a JS inquiry widget (2 pages).</w:t>
            </w:r>
          </w:p>
        </w:tc>
        <w:tc>
          <w:tcPr>
            <w:tcW w:type="dxa" w:w="2160"/>
          </w:tcPr>
          <w:p>
            <w:r>
              <w:t>https://www.sumitclub.jp/ja/contact.html</w:t>
              <w:br/>
              <w:t>https://www.sumitclub.jp/ja/contact_form.html</w:t>
            </w:r>
          </w:p>
        </w:tc>
      </w:tr>
      <w:tr>
        <w:tc>
          <w:tcPr>
            <w:tcW w:type="dxa" w:w="2160"/>
          </w:tcPr>
          <w:p>
            <w:r>
              <w:t>Listing / Index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Notice index and card-services comparison list with grouping/load-more (2 pages).</w:t>
            </w:r>
          </w:p>
        </w:tc>
        <w:tc>
          <w:tcPr>
            <w:tcW w:type="dxa" w:w="2160"/>
          </w:tcPr>
          <w:p>
            <w:r>
              <w:t>https://www.sumitclub.jp/ja/notice.html</w:t>
              <w:br/>
              <w:t>https://www.sumitclub.jp/en/cardlineup/card_services_list.html</w:t>
            </w:r>
          </w:p>
        </w:tc>
      </w:tr>
      <w:tr>
        <w:tc>
          <w:tcPr>
            <w:tcW w:type="dxa" w:w="2160"/>
          </w:tcPr>
          <w:p>
            <w:r>
              <w:t>Corporate news list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Dated corporate news listing (1 page).</w:t>
            </w:r>
          </w:p>
        </w:tc>
        <w:tc>
          <w:tcPr>
            <w:tcW w:type="dxa" w:w="2160"/>
          </w:tcPr>
          <w:p>
            <w:r>
              <w:t>https://www.sumitclub.jp/ja/corporate_site/news.html</w:t>
            </w:r>
          </w:p>
        </w:tc>
      </w:tr>
      <w:tr>
        <w:tc>
          <w:tcPr>
            <w:tcW w:type="dxa" w:w="2160"/>
          </w:tcPr>
          <w:p>
            <w:r>
              <w:t>Sitemap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Single hierarchical link-list page.</w:t>
            </w:r>
          </w:p>
        </w:tc>
        <w:tc>
          <w:tcPr>
            <w:tcW w:type="dxa" w:w="2160"/>
          </w:tcPr>
          <w:p>
            <w:r>
              <w:t>https://www.sumitclub.jp/ja/sitemap.html</w:t>
            </w:r>
          </w:p>
        </w:tc>
      </w:tr>
    </w:tbl>
    <w:p/>
    <w:p>
      <w:r>
        <w:t>Note: four distinct page shells exist (standard /ja/, corporate-site, minimal microsite, legacy /en/). Consolidating these into one EDS header/footer + section styling is recommended and is the single biggest design decision for this site. A migration-time hazard was observed: Adobe Target/Analytics occasionally redirects sumitclub /ja/ pages to diners.co.jp during navigation — this must be disabled for the migrated estate.</w:t>
      </w:r>
    </w:p>
    <w:p>
      <w:r>
        <w:br w:type="page"/>
      </w:r>
    </w:p>
    <w:p>
      <w:pPr>
        <w:pStyle w:val="Heading1"/>
      </w:pPr>
      <w:r>
        <w:t>3. Blocks / Components Catalog</w:t>
      </w:r>
    </w:p>
    <w:p>
      <w:r>
        <w:t>The following 25 reusable blocks were identified. Per the brief, visually different layouts sharing one content model are captured as variants rather than new blocks. Header/footer have four shell variants today that should consolidate to one.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Block / 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Variants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Complexity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 &amp; Behaviour</w:t>
            </w:r>
          </w:p>
        </w:tc>
      </w:tr>
      <w:tr>
        <w:tc>
          <w:tcPr>
            <w:tcW w:type="dxa" w:w="2160"/>
          </w:tcPr>
          <w:p>
            <w:r>
              <w:t>Global Header / Nav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Four variants today: standard /ja/, corporate (dropdown), minimal (logo-only), legacy /en/ (hamburger). Recommend consolidating to one EDS nav.</w:t>
            </w:r>
          </w:p>
        </w:tc>
      </w:tr>
      <w:tr>
        <w:tc>
          <w:tcPr>
            <w:tcW w:type="dxa" w:w="2160"/>
          </w:tcPr>
          <w:p>
            <w:r>
              <w:t>Global Footer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Matching four variants (standard, corporate mega-footer, slim microsite, legacy /en/ mega-links). Consolidate to one.</w:t>
            </w:r>
          </w:p>
        </w:tc>
      </w:tr>
      <w:tr>
        <w:tc>
          <w:tcPr>
            <w:tcW w:type="dxa" w:w="2160"/>
          </w:tcPr>
          <w:p>
            <w:r>
              <w:t>Breadcrumb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Path nav. Variant: corporate "現在位置" breadcrumb.</w:t>
            </w:r>
          </w:p>
        </w:tc>
      </w:tr>
      <w:tr>
        <w:tc>
          <w:tcPr>
            <w:tcW w:type="dxa" w:w="2160"/>
          </w:tcPr>
          <w:p>
            <w:r>
              <w:t>Section Sub-Nav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In-section secondary navigation.</w:t>
            </w:r>
          </w:p>
        </w:tc>
      </w:tr>
      <w:tr>
        <w:tc>
          <w:tcPr>
            <w:tcW w:type="dxa" w:w="2160"/>
          </w:tcPr>
          <w:p>
            <w:r>
              <w:t>Hero / Page Heading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Title + optional image. Variant: card-image hero on product pages.</w:t>
            </w:r>
          </w:p>
        </w:tc>
      </w:tr>
      <w:tr>
        <w:tc>
          <w:tcPr>
            <w:tcW w:type="dxa" w:w="2160"/>
          </w:tcPr>
          <w:p>
            <w:r>
              <w:t>Card Grid / Listing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Linked card grid. Variants: service cards, "FAQ + apply" promo cards.</w:t>
            </w:r>
          </w:p>
        </w:tc>
      </w:tr>
      <w:tr>
        <w:tc>
          <w:tcPr>
            <w:tcW w:type="dxa" w:w="2160"/>
          </w:tcPr>
          <w:p>
            <w:r>
              <w:t>Related-Cards Carousel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Prev/next + tablist carousel of related cards on product pages.</w:t>
            </w:r>
          </w:p>
        </w:tc>
      </w:tr>
      <w:tr>
        <w:tc>
          <w:tcPr>
            <w:tcW w:type="dxa" w:w="2160"/>
          </w:tcPr>
          <w:p>
            <w:r>
              <w:t>News List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Dated list with category badge + load-more. Variants: year-grouped accordion list, flat dl list.</w:t>
            </w:r>
          </w:p>
        </w:tc>
      </w:tr>
      <w:tr>
        <w:tc>
          <w:tcPr>
            <w:tcW w:type="dxa" w:w="2160"/>
          </w:tcPr>
          <w:p>
            <w:r>
              <w:t>Rich Text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Body copy with headings, lists, links.</w:t>
            </w:r>
          </w:p>
        </w:tc>
      </w:tr>
      <w:tr>
        <w:tc>
          <w:tcPr>
            <w:tcW w:type="dxa" w:w="2160"/>
          </w:tcPr>
          <w:p>
            <w:r>
              <w:t>Data Table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Spec/fee tables. Variant: service-comparison table.</w:t>
            </w:r>
          </w:p>
        </w:tc>
      </w:tr>
      <w:tr>
        <w:tc>
          <w:tcPr>
            <w:tcW w:type="dxa" w:w="2160"/>
          </w:tcPr>
          <w:p>
            <w:r>
              <w:t>Image + Caption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Media with caption.</w:t>
            </w:r>
          </w:p>
        </w:tc>
      </w:tr>
      <w:tr>
        <w:tc>
          <w:tcPr>
            <w:tcW w:type="dxa" w:w="2160"/>
          </w:tcPr>
          <w:p>
            <w:r>
              <w:t>Image + Text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Media-and-copy. Variants: image-left, image-right.</w:t>
            </w:r>
          </w:p>
        </w:tc>
      </w:tr>
      <w:tr>
        <w:tc>
          <w:tcPr>
            <w:tcW w:type="dxa" w:w="2160"/>
          </w:tcPr>
          <w:p>
            <w:r>
              <w:t>Feature / Icon Grid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Icon+label grid. Variants: feature icons, payment-method icons.</w:t>
            </w:r>
          </w:p>
        </w:tc>
      </w:tr>
      <w:tr>
        <w:tc>
          <w:tcPr>
            <w:tcW w:type="dxa" w:w="2160"/>
          </w:tcPr>
          <w:p>
            <w:r>
              <w:t>Step / Process Block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Numbered STEP sequence.</w:t>
            </w:r>
          </w:p>
        </w:tc>
      </w:tr>
      <w:tr>
        <w:tc>
          <w:tcPr>
            <w:tcW w:type="dxa" w:w="2160"/>
          </w:tcPr>
          <w:p>
            <w:r>
              <w:t>Accordion / Toggle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Expand/collapse sections (incl. news grouping).</w:t>
            </w:r>
          </w:p>
        </w:tc>
      </w:tr>
      <w:tr>
        <w:tc>
          <w:tcPr>
            <w:tcW w:type="dxa" w:w="2160"/>
          </w:tcPr>
          <w:p>
            <w:r>
              <w:t>Tabs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Category tabs / tablist.</w:t>
            </w:r>
          </w:p>
        </w:tc>
      </w:tr>
      <w:tr>
        <w:tc>
          <w:tcPr>
            <w:tcW w:type="dxa" w:w="2160"/>
          </w:tcPr>
          <w:p>
            <w:r>
              <w:t>CTA Button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Primary CTA. Variants: internal, external/apply.</w:t>
            </w:r>
          </w:p>
        </w:tc>
      </w:tr>
      <w:tr>
        <w:tc>
          <w:tcPr>
            <w:tcW w:type="dxa" w:w="2160"/>
          </w:tcPr>
          <w:p>
            <w:r>
              <w:t>Link List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Grouped link lists. Variant: sitemap tree.</w:t>
            </w:r>
          </w:p>
        </w:tc>
      </w:tr>
      <w:tr>
        <w:tc>
          <w:tcPr>
            <w:tcW w:type="dxa" w:w="2160"/>
          </w:tcPr>
          <w:p>
            <w:r>
              <w:t>Phone / Contact Directory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tel: number directory block.</w:t>
            </w:r>
          </w:p>
        </w:tc>
      </w:tr>
      <w:tr>
        <w:tc>
          <w:tcPr>
            <w:tcW w:type="dxa" w:w="2160"/>
          </w:tcPr>
          <w:p>
            <w:r>
              <w:t>Notice / Ribbon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Highlighted notice strip.</w:t>
            </w:r>
          </w:p>
        </w:tc>
      </w:tr>
      <w:tr>
        <w:tc>
          <w:tcPr>
            <w:tcW w:type="dxa" w:w="2160"/>
          </w:tcPr>
          <w:p>
            <w:r>
              <w:t>Category Tag / Badge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Notice category labels.</w:t>
            </w:r>
          </w:p>
        </w:tc>
      </w:tr>
      <w:tr>
        <w:tc>
          <w:tcPr>
            <w:tcW w:type="dxa" w:w="2160"/>
          </w:tcPr>
          <w:p>
            <w:r>
              <w:t>Search Box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Header search (legacy /en/ posts to search.diners.co.jp). External engine.</w:t>
            </w:r>
          </w:p>
        </w:tc>
      </w:tr>
      <w:tr>
        <w:tc>
          <w:tcPr>
            <w:tcW w:type="dxa" w:w="2160"/>
          </w:tcPr>
          <w:p>
            <w:r>
              <w:t>Corporate Footer Block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Corporate mega-footer with company link groups (corporate shell only).</w:t>
            </w:r>
          </w:p>
        </w:tc>
      </w:tr>
      <w:tr>
        <w:tc>
          <w:tcPr>
            <w:tcW w:type="dxa" w:w="2160"/>
          </w:tcPr>
          <w:p>
            <w:r>
              <w:t>Form Gateway / Widget Launcher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Button that injects/launches external inquiry or insurer application widget.</w:t>
            </w:r>
          </w:p>
        </w:tc>
      </w:tr>
      <w:tr>
        <w:tc>
          <w:tcPr>
            <w:tcW w:type="dxa" w:w="2160"/>
          </w:tcPr>
          <w:p>
            <w:r>
              <w:t>Error Page Block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System error message layout.</w:t>
            </w:r>
          </w:p>
        </w:tc>
      </w:tr>
    </w:tbl>
    <w:p/>
    <w:p>
      <w:pPr>
        <w:pStyle w:val="Heading2"/>
      </w:pPr>
      <w:r>
        <w:t>3.1 Reconciliation with Team-Identified Block List</w:t>
      </w:r>
    </w:p>
    <w:p>
      <w:r>
        <w:t>The team's Excel block/integration sheet (Sheet1 = blocks, Sheet2 = integrations) was not available to this analysis at the time of writing. The table below lists the live-site findings for diffing against the team list. Please confirm the column; items marked "Confirm" are additions or consolidations this analysis recommends.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Recommendation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Block(s)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t>Consolidate as variants</w:t>
            </w:r>
          </w:p>
        </w:tc>
        <w:tc>
          <w:tcPr>
            <w:tcW w:type="dxa" w:w="2880"/>
          </w:tcPr>
          <w:p>
            <w:r>
              <w:t>Header (4 shells → 1); Footer (4 → 1); News List (accordion / flat); Card Grid (service / promo); Data Table (spec / comparison); Image+Text (L/R); Feature Grid (feature / payment icons)</w:t>
            </w:r>
          </w:p>
        </w:tc>
        <w:tc>
          <w:tcPr>
            <w:tcW w:type="dxa" w:w="2880"/>
          </w:tcPr>
          <w:p>
            <w:r>
              <w:t>Same content model, different visual layout — one block + variants. The 4-shell header/footer consolidation is the biggest single saving.</w:t>
            </w:r>
          </w:p>
        </w:tc>
      </w:tr>
      <w:tr>
        <w:tc>
          <w:tcPr>
            <w:tcW w:type="dxa" w:w="2880"/>
          </w:tcPr>
          <w:p>
            <w:r>
              <w:t>Confirm / likely additions</w:t>
            </w:r>
          </w:p>
        </w:tc>
        <w:tc>
          <w:tcPr>
            <w:tcW w:type="dxa" w:w="2880"/>
          </w:tcPr>
          <w:p>
            <w:r>
              <w:t>Section Sub-Nav, Related-Cards Carousel, Step/Process, Phone Directory, Form Gateway launcher, Error Page block, Corporate Footer</w:t>
            </w:r>
          </w:p>
        </w:tc>
        <w:tc>
          <w:tcPr>
            <w:tcW w:type="dxa" w:w="2880"/>
          </w:tcPr>
          <w:p>
            <w:r>
              <w:t>Present on the live site across the different shells; verify against the team list.</w:t>
            </w:r>
          </w:p>
        </w:tc>
      </w:tr>
      <w:tr>
        <w:tc>
          <w:tcPr>
            <w:tcW w:type="dxa" w:w="2880"/>
          </w:tcPr>
          <w:p>
            <w:r>
              <w:t>Treat as integration / out of scope</w:t>
            </w:r>
          </w:p>
        </w:tc>
        <w:tc>
          <w:tcPr>
            <w:tcW w:type="dxa" w:w="2880"/>
          </w:tcPr>
          <w:p>
            <w:r>
              <w:t>Login / Member system pages (40), Verification microsites, Search Box, Insurer application widget</w:t>
            </w:r>
          </w:p>
        </w:tc>
        <w:tc>
          <w:tcPr>
            <w:tcW w:type="dxa" w:w="2880"/>
          </w:tcPr>
          <w:p>
            <w:r>
              <w:t>Functional/system pages and external gateways — scope as integrations or exclude, not as editorial content blocks.</w:t>
            </w:r>
          </w:p>
        </w:tc>
      </w:tr>
    </w:tbl>
    <w:p>
      <w:r>
        <w:br w:type="page"/>
      </w:r>
    </w:p>
    <w:p>
      <w:pPr>
        <w:pStyle w:val="Heading1"/>
      </w:pPr>
      <w:r>
        <w:t>4. Page Counts by Template &amp; Migration Approach</w:t>
      </w:r>
    </w:p>
    <w:p>
      <w:r>
        <w:t>Page counts below are derived by classifying all 439 sitemap URLs (across /ja/, /en/ and corporate areas) into the twelve template families from Section 2.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Template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Pages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% of site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Migration approach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1728"/>
          </w:tcPr>
          <w:p>
            <w:r>
              <w:t>Category / Service / How-to</w:t>
            </w:r>
          </w:p>
        </w:tc>
        <w:tc>
          <w:tcPr>
            <w:tcW w:type="dxa" w:w="1728"/>
          </w:tcPr>
          <w:p>
            <w:r>
              <w:t>175</w:t>
            </w:r>
          </w:p>
        </w:tc>
        <w:tc>
          <w:tcPr>
            <w:tcW w:type="dxa" w:w="1728"/>
          </w:tcPr>
          <w:p>
            <w:r>
              <w:t>39.9%</w:t>
            </w:r>
          </w:p>
        </w:tc>
        <w:tc>
          <w:tcPr>
            <w:tcW w:type="dxa" w:w="1728"/>
          </w:tcPr>
          <w:p>
            <w:r>
              <w:t>Assisted</w:t>
            </w:r>
          </w:p>
        </w:tc>
        <w:tc>
          <w:tcPr>
            <w:tcW w:type="dxa" w:w="1728"/>
          </w:tcPr>
          <w:p>
            <w:r>
              <w:t>Standard shell, per-section layout variation; bulk import + cleanup.</w:t>
            </w:r>
          </w:p>
        </w:tc>
      </w:tr>
      <w:tr>
        <w:tc>
          <w:tcPr>
            <w:tcW w:type="dxa" w:w="1728"/>
          </w:tcPr>
          <w:p>
            <w:r>
              <w:t>Article / News detail</w:t>
            </w:r>
          </w:p>
        </w:tc>
        <w:tc>
          <w:tcPr>
            <w:tcW w:type="dxa" w:w="1728"/>
          </w:tcPr>
          <w:p>
            <w:r>
              <w:t>109</w:t>
            </w:r>
          </w:p>
        </w:tc>
        <w:tc>
          <w:tcPr>
            <w:tcW w:type="dxa" w:w="1728"/>
          </w:tcPr>
          <w:p>
            <w:r>
              <w:t>24.8%</w:t>
            </w:r>
          </w:p>
        </w:tc>
        <w:tc>
          <w:tcPr>
            <w:tcW w:type="dxa" w:w="1728"/>
          </w:tcPr>
          <w:p>
            <w:r>
              <w:t>Automated</w:t>
            </w:r>
          </w:p>
        </w:tc>
        <w:tc>
          <w:tcPr>
            <w:tcW w:type="dxa" w:w="1728"/>
          </w:tcPr>
          <w:p>
            <w:r>
              <w:t>Standardized dated notices (incl. /en/).</w:t>
            </w:r>
          </w:p>
        </w:tc>
      </w:tr>
      <w:tr>
        <w:tc>
          <w:tcPr>
            <w:tcW w:type="dxa" w:w="1728"/>
          </w:tcPr>
          <w:p>
            <w:r>
              <w:t>Corporate info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13.7%</w:t>
            </w:r>
          </w:p>
        </w:tc>
        <w:tc>
          <w:tcPr>
            <w:tcW w:type="dxa" w:w="1728"/>
          </w:tcPr>
          <w:p>
            <w:r>
              <w:t>Assisted</w:t>
            </w:r>
          </w:p>
        </w:tc>
        <w:tc>
          <w:tcPr>
            <w:tcW w:type="dxa" w:w="1728"/>
          </w:tcPr>
          <w:p>
            <w:r>
              <w:t>Separate corporate shell; bulk import after shell mapping.</w:t>
            </w:r>
          </w:p>
        </w:tc>
      </w:tr>
      <w:tr>
        <w:tc>
          <w:tcPr>
            <w:tcW w:type="dxa" w:w="1728"/>
          </w:tcPr>
          <w:p>
            <w:r>
              <w:t>Login / Member system page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9.1%</w:t>
            </w:r>
          </w:p>
        </w:tc>
        <w:tc>
          <w:tcPr>
            <w:tcW w:type="dxa" w:w="1728"/>
          </w:tcPr>
          <w:p>
            <w:r>
              <w:t>Manual / Exclude</w:t>
            </w:r>
          </w:p>
        </w:tc>
        <w:tc>
          <w:tcPr>
            <w:tcW w:type="dxa" w:w="1728"/>
          </w:tcPr>
          <w:p>
            <w:r>
              <w:t>System-generated authenticated pages — re-point to Club Online, likely out of scope.</w:t>
            </w:r>
          </w:p>
        </w:tc>
      </w:tr>
      <w:tr>
        <w:tc>
          <w:tcPr>
            <w:tcW w:type="dxa" w:w="1728"/>
          </w:tcPr>
          <w:p>
            <w:r>
              <w:t>Product / Card detail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4.6%</w:t>
            </w:r>
          </w:p>
        </w:tc>
        <w:tc>
          <w:tcPr>
            <w:tcW w:type="dxa" w:w="1728"/>
          </w:tcPr>
          <w:p>
            <w:r>
              <w:t>Manual</w:t>
            </w:r>
          </w:p>
        </w:tc>
        <w:tc>
          <w:tcPr>
            <w:tcW w:type="dxa" w:w="1728"/>
          </w:tcPr>
          <w:p>
            <w:r>
              <w:t>Marketing-critical card pages; rebuild for fidelity + external apply CTA.</w:t>
            </w:r>
          </w:p>
        </w:tc>
      </w:tr>
      <w:tr>
        <w:tc>
          <w:tcPr>
            <w:tcW w:type="dxa" w:w="1728"/>
          </w:tcPr>
          <w:p>
            <w:r>
              <w:t>Application / Verification microsite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3.4%</w:t>
            </w:r>
          </w:p>
        </w:tc>
        <w:tc>
          <w:tcPr>
            <w:tcW w:type="dxa" w:w="1728"/>
          </w:tcPr>
          <w:p>
            <w:r>
              <w:t>Manual</w:t>
            </w:r>
          </w:p>
        </w:tc>
        <w:tc>
          <w:tcPr>
            <w:tcW w:type="dxa" w:w="1728"/>
          </w:tcPr>
          <w:p>
            <w:r>
              <w:t>Minimal-chrome shells launching external apps; case-by-case.</w:t>
            </w:r>
          </w:p>
        </w:tc>
      </w:tr>
      <w:tr>
        <w:tc>
          <w:tcPr>
            <w:tcW w:type="dxa" w:w="1728"/>
          </w:tcPr>
          <w:p>
            <w:r>
              <w:t>Legal / Policy text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1.6%</w:t>
            </w:r>
          </w:p>
        </w:tc>
        <w:tc>
          <w:tcPr>
            <w:tcW w:type="dxa" w:w="1728"/>
          </w:tcPr>
          <w:p>
            <w:r>
              <w:t>Automated</w:t>
            </w:r>
          </w:p>
        </w:tc>
        <w:tc>
          <w:tcPr>
            <w:tcW w:type="dxa" w:w="1728"/>
          </w:tcPr>
          <w:p>
            <w:r>
              <w:t>Plain long-form text + tables.</w:t>
            </w:r>
          </w:p>
        </w:tc>
      </w:tr>
      <w:tr>
        <w:tc>
          <w:tcPr>
            <w:tcW w:type="dxa" w:w="1728"/>
          </w:tcPr>
          <w:p>
            <w:r>
              <w:t>Error / System page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1.6%</w:t>
            </w:r>
          </w:p>
        </w:tc>
        <w:tc>
          <w:tcPr>
            <w:tcW w:type="dxa" w:w="1728"/>
          </w:tcPr>
          <w:p>
            <w:r>
              <w:t>Manual / Exclude</w:t>
            </w:r>
          </w:p>
        </w:tc>
        <w:tc>
          <w:tcPr>
            <w:tcW w:type="dxa" w:w="1728"/>
          </w:tcPr>
          <w:p>
            <w:r>
              <w:t>Platform error pages — replace with EDS error handling.</w:t>
            </w:r>
          </w:p>
        </w:tc>
      </w:tr>
      <w:tr>
        <w:tc>
          <w:tcPr>
            <w:tcW w:type="dxa" w:w="1728"/>
          </w:tcPr>
          <w:p>
            <w:r>
              <w:t>Listing / Index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0.5%</w:t>
            </w:r>
          </w:p>
        </w:tc>
        <w:tc>
          <w:tcPr>
            <w:tcW w:type="dxa" w:w="1728"/>
          </w:tcPr>
          <w:p>
            <w:r>
              <w:t>Manual</w:t>
            </w:r>
          </w:p>
        </w:tc>
        <w:tc>
          <w:tcPr>
            <w:tcW w:type="dxa" w:w="1728"/>
          </w:tcPr>
          <w:p>
            <w:r>
              <w:t>Grouping / load-more needs EDS index + query.</w:t>
            </w:r>
          </w:p>
        </w:tc>
      </w:tr>
      <w:tr>
        <w:tc>
          <w:tcPr>
            <w:tcW w:type="dxa" w:w="1728"/>
          </w:tcPr>
          <w:p>
            <w:r>
              <w:t>Contact / Form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0.5%</w:t>
            </w:r>
          </w:p>
        </w:tc>
        <w:tc>
          <w:tcPr>
            <w:tcW w:type="dxa" w:w="1728"/>
          </w:tcPr>
          <w:p>
            <w:r>
              <w:t>Manual</w:t>
            </w:r>
          </w:p>
        </w:tc>
        <w:tc>
          <w:tcPr>
            <w:tcW w:type="dxa" w:w="1728"/>
          </w:tcPr>
          <w:p>
            <w:r>
              <w:t>External form widget wiring.</w:t>
            </w:r>
          </w:p>
        </w:tc>
      </w:tr>
      <w:tr>
        <w:tc>
          <w:tcPr>
            <w:tcW w:type="dxa" w:w="1728"/>
          </w:tcPr>
          <w:p>
            <w:r>
              <w:t>Corporate news list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0.2%</w:t>
            </w:r>
          </w:p>
        </w:tc>
        <w:tc>
          <w:tcPr>
            <w:tcW w:type="dxa" w:w="1728"/>
          </w:tcPr>
          <w:p>
            <w:r>
              <w:t>Automated</w:t>
            </w:r>
          </w:p>
        </w:tc>
        <w:tc>
          <w:tcPr>
            <w:tcW w:type="dxa" w:w="1728"/>
          </w:tcPr>
          <w:p>
            <w:r>
              <w:t>Dated list page.</w:t>
            </w:r>
          </w:p>
        </w:tc>
      </w:tr>
      <w:tr>
        <w:tc>
          <w:tcPr>
            <w:tcW w:type="dxa" w:w="1728"/>
          </w:tcPr>
          <w:p>
            <w:r>
              <w:t>Sitemap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0.2%</w:t>
            </w:r>
          </w:p>
        </w:tc>
        <w:tc>
          <w:tcPr>
            <w:tcW w:type="dxa" w:w="1728"/>
          </w:tcPr>
          <w:p>
            <w:r>
              <w:t>Automated</w:t>
            </w:r>
          </w:p>
        </w:tc>
        <w:tc>
          <w:tcPr>
            <w:tcW w:type="dxa" w:w="1728"/>
          </w:tcPr>
          <w:p>
            <w:r>
              <w:t>Single link-list page.</w:t>
            </w:r>
          </w:p>
        </w:tc>
      </w:tr>
      <w:tr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439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/>
    <w:p>
      <w:r>
        <w:t>Migration approach key — "Automated": pages with standardized structure that the import pipeline (block parsers + page transformers) can convert in bulk with spot-check QA. "Assisted": bulk-imported but require per-page review/cleanup. "Manual": custom layout, dynamic/system-driven, or external-integration pages that must be rebuilt or re-pointed by hand.</w:t>
      </w:r>
    </w:p>
    <w:p>
      <w:r>
        <w:br w:type="page"/>
      </w:r>
    </w:p>
    <w:p>
      <w:pPr>
        <w:pStyle w:val="Heading1"/>
      </w:pPr>
      <w:r>
        <w:t>5. Integrations Analysis</w:t>
      </w:r>
    </w:p>
    <w:p>
      <w:r>
        <w:t>The site embeds several third-party / external systems, several of which are shared with diners.co.jp. Most should be re-pointed or re-embedded rather than rebuilt.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Integration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Migration handling</w:t>
            </w:r>
          </w:p>
        </w:tc>
      </w:tr>
      <w:tr>
        <w:tc>
          <w:tcPr>
            <w:tcW w:type="dxa" w:w="2880"/>
          </w:tcPr>
          <w:p>
            <w:r>
              <w:t>Club Online (sumitclub.jp/JPCRD/col)</w:t>
            </w:r>
          </w:p>
        </w:tc>
        <w:tc>
          <w:tcPr>
            <w:tcW w:type="dxa" w:w="2880"/>
          </w:tcPr>
          <w:p>
            <w:r>
              <w:t>Member login / self-service</w:t>
            </w:r>
          </w:p>
        </w:tc>
        <w:tc>
          <w:tcPr>
            <w:tcW w:type="dxa" w:w="2880"/>
          </w:tcPr>
          <w:p>
            <w:r>
              <w:t>External member system — link out; the 40 loginPage URLs likely stay on it.</w:t>
            </w:r>
          </w:p>
        </w:tc>
      </w:tr>
      <w:tr>
        <w:tc>
          <w:tcPr>
            <w:tcW w:type="dxa" w:w="2880"/>
          </w:tcPr>
          <w:p>
            <w:r>
              <w:t>Helpfeel</w:t>
            </w:r>
          </w:p>
        </w:tc>
        <w:tc>
          <w:tcPr>
            <w:tcW w:type="dxa" w:w="2880"/>
          </w:tcPr>
          <w:p>
            <w:r>
              <w:t>FAQ / help</w:t>
            </w:r>
          </w:p>
        </w:tc>
        <w:tc>
          <w:tcPr>
            <w:tcW w:type="dxa" w:w="2880"/>
          </w:tcPr>
          <w:p>
            <w:r>
              <w:t>External — outbound link / embed.</w:t>
            </w:r>
          </w:p>
        </w:tc>
      </w:tr>
      <w:tr>
        <w:tc>
          <w:tcPr>
            <w:tcW w:type="dxa" w:w="2880"/>
          </w:tcPr>
          <w:p>
            <w:r>
              <w:t>Card application LPs (entry_form/lp)</w:t>
            </w:r>
          </w:p>
        </w:tc>
        <w:tc>
          <w:tcPr>
            <w:tcW w:type="dxa" w:w="2880"/>
          </w:tcPr>
          <w:p>
            <w:r>
              <w:t>New-card applications</w:t>
            </w:r>
          </w:p>
        </w:tc>
        <w:tc>
          <w:tcPr>
            <w:tcW w:type="dxa" w:w="2880"/>
          </w:tcPr>
          <w:p>
            <w:r>
              <w:t>External landing pages — link out.</w:t>
            </w:r>
          </w:p>
        </w:tc>
      </w:tr>
      <w:tr>
        <w:tc>
          <w:tcPr>
            <w:tcW w:type="dxa" w:w="2880"/>
          </w:tcPr>
          <w:p>
            <w:r>
              <w:t>Inquiry form widget</w:t>
            </w:r>
          </w:p>
        </w:tc>
        <w:tc>
          <w:tcPr>
            <w:tcW w:type="dxa" w:w="2880"/>
          </w:tcPr>
          <w:p>
            <w:r>
              <w:t>Contact form</w:t>
            </w:r>
          </w:p>
        </w:tc>
        <w:tc>
          <w:tcPr>
            <w:tcW w:type="dxa" w:w="2880"/>
          </w:tcPr>
          <w:p>
            <w:r>
              <w:t>JS-injected widget — re-embed or replace with EDS form.</w:t>
            </w:r>
          </w:p>
        </w:tc>
      </w:tr>
      <w:tr>
        <w:tc>
          <w:tcPr>
            <w:tcW w:type="dxa" w:w="2880"/>
          </w:tcPr>
          <w:p>
            <w:r>
              <w:t>Third-party insurer app (winop)</w:t>
            </w:r>
          </w:p>
        </w:tc>
        <w:tc>
          <w:tcPr>
            <w:tcW w:type="dxa" w:w="2880"/>
          </w:tcPr>
          <w:p>
            <w:r>
              <w:t>Golf/insurance application</w:t>
            </w:r>
          </w:p>
        </w:tc>
        <w:tc>
          <w:tcPr>
            <w:tcW w:type="dxa" w:w="2880"/>
          </w:tcPr>
          <w:p>
            <w:r>
              <w:t>External — link out.</w:t>
            </w:r>
          </w:p>
        </w:tc>
      </w:tr>
      <w:tr>
        <w:tc>
          <w:tcPr>
            <w:tcW w:type="dxa" w:w="2880"/>
          </w:tcPr>
          <w:p>
            <w:r>
              <w:t>Remote Operator (sumitclub.rmop.jp)</w:t>
            </w:r>
          </w:p>
        </w:tc>
        <w:tc>
          <w:tcPr>
            <w:tcW w:type="dxa" w:w="2880"/>
          </w:tcPr>
          <w:p>
            <w:r>
              <w:t>Co-browse support</w:t>
            </w:r>
          </w:p>
        </w:tc>
        <w:tc>
          <w:tcPr>
            <w:tcW w:type="dxa" w:w="2880"/>
          </w:tcPr>
          <w:p>
            <w:r>
              <w:t>External — link out.</w:t>
            </w:r>
          </w:p>
        </w:tc>
      </w:tr>
      <w:tr>
        <w:tc>
          <w:tcPr>
            <w:tcW w:type="dxa" w:w="2880"/>
          </w:tcPr>
          <w:p>
            <w:r>
              <w:t>Adobe Analytics / Target + adobe_mc</w:t>
            </w:r>
          </w:p>
        </w:tc>
        <w:tc>
          <w:tcPr>
            <w:tcW w:type="dxa" w:w="2880"/>
          </w:tcPr>
          <w:p>
            <w:r>
              <w:t>Analytics &amp; personalization, cross-domain ID</w:t>
            </w:r>
          </w:p>
        </w:tc>
        <w:tc>
          <w:tcPr>
            <w:tcW w:type="dxa" w:w="2880"/>
          </w:tcPr>
          <w:p>
            <w:r>
              <w:t>Re-tag; DISABLE the Target rule that redirects /ja/ pages to diners.co.jp.</w:t>
            </w:r>
          </w:p>
        </w:tc>
      </w:tr>
      <w:tr>
        <w:tc>
          <w:tcPr>
            <w:tcW w:type="dxa" w:w="2880"/>
          </w:tcPr>
          <w:p>
            <w:r>
              <w:t>Meta Pixel / im-apps / logly / doga.cm</w:t>
            </w:r>
          </w:p>
        </w:tc>
        <w:tc>
          <w:tcPr>
            <w:tcW w:type="dxa" w:w="2880"/>
          </w:tcPr>
          <w:p>
            <w:r>
              <w:t>Advertising &amp; remarketing</w:t>
            </w:r>
          </w:p>
        </w:tc>
        <w:tc>
          <w:tcPr>
            <w:tcW w:type="dxa" w:w="2880"/>
          </w:tcPr>
          <w:p>
            <w:r>
              <w:t>Re-add required tags only.</w:t>
            </w:r>
          </w:p>
        </w:tc>
      </w:tr>
      <w:tr>
        <w:tc>
          <w:tcPr>
            <w:tcW w:type="dxa" w:w="2880"/>
          </w:tcPr>
          <w:p>
            <w:r>
              <w:t>Online Mall (sumitclubonlinemall.jp)</w:t>
            </w:r>
          </w:p>
        </w:tc>
        <w:tc>
          <w:tcPr>
            <w:tcW w:type="dxa" w:w="2880"/>
          </w:tcPr>
          <w:p>
            <w:r>
              <w:t>Points shopping mall</w:t>
            </w:r>
          </w:p>
        </w:tc>
        <w:tc>
          <w:tcPr>
            <w:tcW w:type="dxa" w:w="2880"/>
          </w:tcPr>
          <w:p>
            <w:r>
              <w:t>External — link out.</w:t>
            </w:r>
          </w:p>
        </w:tc>
      </w:tr>
      <w:tr>
        <w:tc>
          <w:tcPr>
            <w:tcW w:type="dxa" w:w="2880"/>
          </w:tcPr>
          <w:p>
            <w:r>
              <w:t>Site Search (search.diners.co.jp)</w:t>
            </w:r>
          </w:p>
        </w:tc>
        <w:tc>
          <w:tcPr>
            <w:tcW w:type="dxa" w:w="2880"/>
          </w:tcPr>
          <w:p>
            <w:r>
              <w:t>On-site search (legacy /en/)</w:t>
            </w:r>
          </w:p>
        </w:tc>
        <w:tc>
          <w:tcPr>
            <w:tcW w:type="dxa" w:w="2880"/>
          </w:tcPr>
          <w:p>
            <w:r>
              <w:t>Re-point or replace with EDS/Edge search.</w:t>
            </w:r>
          </w:p>
        </w:tc>
      </w:tr>
    </w:tbl>
    <w:p>
      <w:r>
        <w:br w:type="page"/>
      </w:r>
    </w:p>
    <w:p>
      <w:pPr>
        <w:pStyle w:val="Heading1"/>
      </w:pPr>
      <w:r>
        <w:t>6. Migration Estimates</w:t>
      </w:r>
    </w:p>
    <w:p>
      <w:r>
        <w:t>Estimates assume reuse of the EDS import accelerator and, ideally, shared block development with diners.co.jp (same platform, shared header/footer). The page volume is modest (439) but shell fragmentation and the high share of system/functional pages push up the manual portion.</w:t>
      </w:r>
    </w:p>
    <w:p>
      <w:pPr>
        <w:pStyle w:val="Heading2"/>
      </w:pPr>
      <w:r>
        <w:t>6.1 Effort by Work-stream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Work-stream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Effort (person-days)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Discovery &amp; template design</w:t>
            </w:r>
          </w:p>
        </w:tc>
        <w:tc>
          <w:tcPr>
            <w:tcW w:type="dxa" w:w="2880"/>
          </w:tcPr>
          <w:p>
            <w:r>
              <w:t>5–6</w:t>
            </w:r>
          </w:p>
        </w:tc>
        <w:tc>
          <w:tcPr>
            <w:tcW w:type="dxa" w:w="2880"/>
          </w:tcPr>
          <w:p>
            <w:r>
              <w:t>Confirm 12 families + 4-shell consolidation.</w:t>
            </w:r>
          </w:p>
        </w:tc>
      </w:tr>
      <w:tr>
        <w:tc>
          <w:tcPr>
            <w:tcW w:type="dxa" w:w="2880"/>
          </w:tcPr>
          <w:p>
            <w:r>
              <w:t>Block development (25 blocks, with variants)</w:t>
            </w:r>
          </w:p>
        </w:tc>
        <w:tc>
          <w:tcPr>
            <w:tcW w:type="dxa" w:w="2880"/>
          </w:tcPr>
          <w:p>
            <w:r>
              <w:t>16–20</w:t>
            </w:r>
          </w:p>
        </w:tc>
        <w:tc>
          <w:tcPr>
            <w:tcW w:type="dxa" w:w="2880"/>
          </w:tcPr>
          <w:p>
            <w:r>
              <w:t>Lower if shared with diners.co.jp; 4-shell header/footer consolidation is key.</w:t>
            </w:r>
          </w:p>
        </w:tc>
      </w:tr>
      <w:tr>
        <w:tc>
          <w:tcPr>
            <w:tcW w:type="dxa" w:w="2880"/>
          </w:tcPr>
          <w:p>
            <w:r>
              <w:t>Import pipeline (parsers + transformers)</w:t>
            </w:r>
          </w:p>
        </w:tc>
        <w:tc>
          <w:tcPr>
            <w:tcW w:type="dxa" w:w="2880"/>
          </w:tcPr>
          <w:p>
            <w:r>
              <w:t>8–10</w:t>
            </w:r>
          </w:p>
        </w:tc>
        <w:tc>
          <w:tcPr>
            <w:tcW w:type="dxa" w:w="2880"/>
          </w:tcPr>
          <w:p>
            <w:r>
              <w:t>Parsers for usage/how-to, notice, corporate, product.</w:t>
            </w:r>
          </w:p>
        </w:tc>
      </w:tr>
      <w:tr>
        <w:tc>
          <w:tcPr>
            <w:tcW w:type="dxa" w:w="2880"/>
          </w:tcPr>
          <w:p>
            <w:r>
              <w:t>Automated content migration (≈300 pages)</w:t>
            </w:r>
          </w:p>
        </w:tc>
        <w:tc>
          <w:tcPr>
            <w:tcW w:type="dxa" w:w="2880"/>
          </w:tcPr>
          <w:p>
            <w:r>
              <w:t>5–7</w:t>
            </w:r>
          </w:p>
        </w:tc>
        <w:tc>
          <w:tcPr>
            <w:tcW w:type="dxa" w:w="2880"/>
          </w:tcPr>
          <w:p>
            <w:r>
              <w:t>Bulk runs + reruns.</w:t>
            </w:r>
          </w:p>
        </w:tc>
      </w:tr>
      <w:tr>
        <w:tc>
          <w:tcPr>
            <w:tcW w:type="dxa" w:w="2880"/>
          </w:tcPr>
          <w:p>
            <w:r>
              <w:t>Manual / assisted pages (≈139 pages)</w:t>
            </w:r>
          </w:p>
        </w:tc>
        <w:tc>
          <w:tcPr>
            <w:tcW w:type="dxa" w:w="2880"/>
          </w:tcPr>
          <w:p>
            <w:r>
              <w:t>12–16</w:t>
            </w:r>
          </w:p>
        </w:tc>
        <w:tc>
          <w:tcPr>
            <w:tcW w:type="dxa" w:w="2880"/>
          </w:tcPr>
          <w:p>
            <w:r>
              <w:t>Card pages, microsites, corporate cleanup, listings, login decisions.</w:t>
            </w:r>
          </w:p>
        </w:tc>
      </w:tr>
      <w:tr>
        <w:tc>
          <w:tcPr>
            <w:tcW w:type="dxa" w:w="2880"/>
          </w:tcPr>
          <w:p>
            <w:r>
              <w:t>Integrations re-wiring</w:t>
            </w:r>
          </w:p>
        </w:tc>
        <w:tc>
          <w:tcPr>
            <w:tcW w:type="dxa" w:w="2880"/>
          </w:tcPr>
          <w:p>
            <w:r>
              <w:t>7–9</w:t>
            </w:r>
          </w:p>
        </w:tc>
        <w:tc>
          <w:tcPr>
            <w:tcW w:type="dxa" w:w="2880"/>
          </w:tcPr>
          <w:p>
            <w:r>
              <w:t>Search, forms, video, analytics, login links, redirect fix.</w:t>
            </w:r>
          </w:p>
        </w:tc>
      </w:tr>
      <w:tr>
        <w:tc>
          <w:tcPr>
            <w:tcW w:type="dxa" w:w="2880"/>
          </w:tcPr>
          <w:p>
            <w:r>
              <w:t>QA &amp; Testing</w:t>
            </w:r>
          </w:p>
        </w:tc>
        <w:tc>
          <w:tcPr>
            <w:tcW w:type="dxa" w:w="2880"/>
          </w:tcPr>
          <w:p>
            <w:r>
              <w:t>9–11</w:t>
            </w:r>
          </w:p>
        </w:tc>
        <w:tc>
          <w:tcPr>
            <w:tcW w:type="dxa" w:w="2880"/>
          </w:tcPr>
          <w:p>
            <w:r>
              <w:t>Visual QA, link checks, responsive, bilingual (/ja/ + /en/).</w:t>
            </w:r>
          </w:p>
        </w:tc>
      </w:tr>
      <w:tr>
        <w:tc>
          <w:tcPr>
            <w:tcW w:type="dxa" w:w="2880"/>
          </w:tcPr>
          <w:p>
            <w:r>
              <w:t>PM / coordination / UAT support</w:t>
            </w:r>
          </w:p>
        </w:tc>
        <w:tc>
          <w:tcPr>
            <w:tcW w:type="dxa" w:w="2880"/>
          </w:tcPr>
          <w:p>
            <w:r>
              <w:t>4–6</w:t>
            </w:r>
          </w:p>
        </w:tc>
        <w:tc>
          <w:tcPr>
            <w:tcW w:type="dxa" w:w="2880"/>
          </w:tcPr>
          <w:p>
            <w:r>
              <w:t>Across the engagement.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60–74</w:t>
            </w:r>
          </w:p>
        </w:tc>
        <w:tc>
          <w:tcPr>
            <w:tcW w:type="dxa" w:w="2880"/>
          </w:tcPr>
          <w:p>
            <w:r>
              <w:t>≈ 9–11 weeks elapsed with a 2–3 person team.</w:t>
            </w:r>
          </w:p>
        </w:tc>
      </w:tr>
    </w:tbl>
    <w:p/>
    <w:p>
      <w:pPr>
        <w:pStyle w:val="Heading2"/>
      </w:pPr>
      <w:r>
        <w:t>6.2 Content Migration Effort by Template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Template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Pages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Approach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Effort</w:t>
            </w:r>
          </w:p>
        </w:tc>
      </w:tr>
      <w:tr>
        <w:tc>
          <w:tcPr>
            <w:tcW w:type="dxa" w:w="2160"/>
          </w:tcPr>
          <w:p>
            <w:r>
              <w:t>Category / Service / How-to</w:t>
            </w:r>
          </w:p>
        </w:tc>
        <w:tc>
          <w:tcPr>
            <w:tcW w:type="dxa" w:w="2160"/>
          </w:tcPr>
          <w:p>
            <w:r>
              <w:t>175</w:t>
            </w:r>
          </w:p>
        </w:tc>
        <w:tc>
          <w:tcPr>
            <w:tcW w:type="dxa" w:w="2160"/>
          </w:tcPr>
          <w:p>
            <w:r>
              <w:t>Assisted</w:t>
            </w:r>
          </w:p>
        </w:tc>
        <w:tc>
          <w:tcPr>
            <w:tcW w:type="dxa" w:w="2160"/>
          </w:tcPr>
          <w:p>
            <w:r>
              <w:t>4–5 days (import + cleanup)</w:t>
            </w:r>
          </w:p>
        </w:tc>
      </w:tr>
      <w:tr>
        <w:tc>
          <w:tcPr>
            <w:tcW w:type="dxa" w:w="2160"/>
          </w:tcPr>
          <w:p>
            <w:r>
              <w:t>Article / News detail</w:t>
            </w:r>
          </w:p>
        </w:tc>
        <w:tc>
          <w:tcPr>
            <w:tcW w:type="dxa" w:w="2160"/>
          </w:tcPr>
          <w:p>
            <w:r>
              <w:t>109</w:t>
            </w:r>
          </w:p>
        </w:tc>
        <w:tc>
          <w:tcPr>
            <w:tcW w:type="dxa" w:w="2160"/>
          </w:tcPr>
          <w:p>
            <w:r>
              <w:t>Automated</w:t>
            </w:r>
          </w:p>
        </w:tc>
        <w:tc>
          <w:tcPr>
            <w:tcW w:type="dxa" w:w="2160"/>
          </w:tcPr>
          <w:p>
            <w:r>
              <w:t>1–1.5 days</w:t>
            </w:r>
          </w:p>
        </w:tc>
      </w:tr>
      <w:tr>
        <w:tc>
          <w:tcPr>
            <w:tcW w:type="dxa" w:w="2160"/>
          </w:tcPr>
          <w:p>
            <w:r>
              <w:t>Corporate info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Assisted</w:t>
            </w:r>
          </w:p>
        </w:tc>
        <w:tc>
          <w:tcPr>
            <w:tcW w:type="dxa" w:w="2160"/>
          </w:tcPr>
          <w:p>
            <w:r>
              <w:t>2.5–3 days</w:t>
            </w:r>
          </w:p>
        </w:tc>
      </w:tr>
      <w:tr>
        <w:tc>
          <w:tcPr>
            <w:tcW w:type="dxa" w:w="2160"/>
          </w:tcPr>
          <w:p>
            <w:r>
              <w:t>Login / Member system page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Manual / Exclude</w:t>
            </w:r>
          </w:p>
        </w:tc>
        <w:tc>
          <w:tcPr>
            <w:tcW w:type="dxa" w:w="2160"/>
          </w:tcPr>
          <w:p>
            <w:r>
              <w:t>1–2 days (decision + re-point)</w:t>
            </w:r>
          </w:p>
        </w:tc>
      </w:tr>
      <w:tr>
        <w:tc>
          <w:tcPr>
            <w:tcW w:type="dxa" w:w="2160"/>
          </w:tcPr>
          <w:p>
            <w:r>
              <w:t>Product / Card detail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Manual</w:t>
            </w:r>
          </w:p>
        </w:tc>
        <w:tc>
          <w:tcPr>
            <w:tcW w:type="dxa" w:w="2160"/>
          </w:tcPr>
          <w:p>
            <w:r>
              <w:t>2.5–3 days</w:t>
            </w:r>
          </w:p>
        </w:tc>
      </w:tr>
      <w:tr>
        <w:tc>
          <w:tcPr>
            <w:tcW w:type="dxa" w:w="2160"/>
          </w:tcPr>
          <w:p>
            <w:r>
              <w:t>Application / Verification microsite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Manual</w:t>
            </w:r>
          </w:p>
        </w:tc>
        <w:tc>
          <w:tcPr>
            <w:tcW w:type="dxa" w:w="2160"/>
          </w:tcPr>
          <w:p>
            <w:r>
              <w:t>2–3 days</w:t>
            </w:r>
          </w:p>
        </w:tc>
      </w:tr>
      <w:tr>
        <w:tc>
          <w:tcPr>
            <w:tcW w:type="dxa" w:w="2160"/>
          </w:tcPr>
          <w:p>
            <w:r>
              <w:t>Legal / Policy text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Automated</w:t>
            </w:r>
          </w:p>
        </w:tc>
        <w:tc>
          <w:tcPr>
            <w:tcW w:type="dxa" w:w="2160"/>
          </w:tcPr>
          <w:p>
            <w:r>
              <w:t>0.5 day</w:t>
            </w:r>
          </w:p>
        </w:tc>
      </w:tr>
      <w:tr>
        <w:tc>
          <w:tcPr>
            <w:tcW w:type="dxa" w:w="2160"/>
          </w:tcPr>
          <w:p>
            <w:r>
              <w:t>Error / System page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Manual / Exclude</w:t>
            </w:r>
          </w:p>
        </w:tc>
        <w:tc>
          <w:tcPr>
            <w:tcW w:type="dxa" w:w="2160"/>
          </w:tcPr>
          <w:p>
            <w:r>
              <w:t>0.5 day</w:t>
            </w:r>
          </w:p>
        </w:tc>
      </w:tr>
      <w:tr>
        <w:tc>
          <w:tcPr>
            <w:tcW w:type="dxa" w:w="2160"/>
          </w:tcPr>
          <w:p>
            <w:r>
              <w:t>Listing / Index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Manual</w:t>
            </w:r>
          </w:p>
        </w:tc>
        <w:tc>
          <w:tcPr>
            <w:tcW w:type="dxa" w:w="2160"/>
          </w:tcPr>
          <w:p>
            <w:r>
              <w:t>1.5–2 days</w:t>
            </w:r>
          </w:p>
        </w:tc>
      </w:tr>
      <w:tr>
        <w:tc>
          <w:tcPr>
            <w:tcW w:type="dxa" w:w="2160"/>
          </w:tcPr>
          <w:p>
            <w:r>
              <w:t>Contact / Form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Manual</w:t>
            </w:r>
          </w:p>
        </w:tc>
        <w:tc>
          <w:tcPr>
            <w:tcW w:type="dxa" w:w="2160"/>
          </w:tcPr>
          <w:p>
            <w:r>
              <w:t>1–2 days</w:t>
            </w:r>
          </w:p>
        </w:tc>
      </w:tr>
      <w:tr>
        <w:tc>
          <w:tcPr>
            <w:tcW w:type="dxa" w:w="2160"/>
          </w:tcPr>
          <w:p>
            <w:r>
              <w:t>Corporate news list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Automated</w:t>
            </w:r>
          </w:p>
        </w:tc>
        <w:tc>
          <w:tcPr>
            <w:tcW w:type="dxa" w:w="2160"/>
          </w:tcPr>
          <w:p>
            <w:r>
              <w:t>0.25 day</w:t>
            </w:r>
          </w:p>
        </w:tc>
      </w:tr>
      <w:tr>
        <w:tc>
          <w:tcPr>
            <w:tcW w:type="dxa" w:w="2160"/>
          </w:tcPr>
          <w:p>
            <w:r>
              <w:t>Sitemap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Automated</w:t>
            </w:r>
          </w:p>
        </w:tc>
        <w:tc>
          <w:tcPr>
            <w:tcW w:type="dxa" w:w="2160"/>
          </w:tcPr>
          <w:p>
            <w:r>
              <w:t>0.25 day</w:t>
            </w:r>
          </w:p>
        </w:tc>
      </w:tr>
    </w:tbl>
    <w:p/>
    <w:p>
      <w:pPr>
        <w:pStyle w:val="Heading2"/>
      </w:pPr>
      <w:r>
        <w:t>6.3 Timeline / Schedule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outputs</w:t>
            </w:r>
          </w:p>
        </w:tc>
      </w:tr>
      <w:tr>
        <w:tc>
          <w:tcPr>
            <w:tcW w:type="dxa" w:w="2880"/>
          </w:tcPr>
          <w:p>
            <w:r>
              <w:t>Phase 1 — Discovery &amp; design</w:t>
            </w:r>
          </w:p>
        </w:tc>
        <w:tc>
          <w:tcPr>
            <w:tcW w:type="dxa" w:w="2880"/>
          </w:tcPr>
          <w:p>
            <w:r>
              <w:t>Weeks 1–2</w:t>
            </w:r>
          </w:p>
        </w:tc>
        <w:tc>
          <w:tcPr>
            <w:tcW w:type="dxa" w:w="2880"/>
          </w:tcPr>
          <w:p>
            <w:r>
              <w:t>Template catalog, shell consolidation plan, block models.</w:t>
            </w:r>
          </w:p>
        </w:tc>
      </w:tr>
      <w:tr>
        <w:tc>
          <w:tcPr>
            <w:tcW w:type="dxa" w:w="2880"/>
          </w:tcPr>
          <w:p>
            <w:r>
              <w:t>Phase 2 — Block &amp; pipeline build</w:t>
            </w:r>
          </w:p>
        </w:tc>
        <w:tc>
          <w:tcPr>
            <w:tcW w:type="dxa" w:w="2880"/>
          </w:tcPr>
          <w:p>
            <w:r>
              <w:t>Weeks 2–5</w:t>
            </w:r>
          </w:p>
        </w:tc>
        <w:tc>
          <w:tcPr>
            <w:tcW w:type="dxa" w:w="2880"/>
          </w:tcPr>
          <w:p>
            <w:r>
              <w:t>Blocks + import parsers/transformers.</w:t>
            </w:r>
          </w:p>
        </w:tc>
      </w:tr>
      <w:tr>
        <w:tc>
          <w:tcPr>
            <w:tcW w:type="dxa" w:w="2880"/>
          </w:tcPr>
          <w:p>
            <w:r>
              <w:t>Phase 3 — Bulk migration</w:t>
            </w:r>
          </w:p>
        </w:tc>
        <w:tc>
          <w:tcPr>
            <w:tcW w:type="dxa" w:w="2880"/>
          </w:tcPr>
          <w:p>
            <w:r>
              <w:t>Weeks 5–7</w:t>
            </w:r>
          </w:p>
        </w:tc>
        <w:tc>
          <w:tcPr>
            <w:tcW w:type="dxa" w:w="2880"/>
          </w:tcPr>
          <w:p>
            <w:r>
              <w:t>Automated import of ~300 standardized pages.</w:t>
            </w:r>
          </w:p>
        </w:tc>
      </w:tr>
      <w:tr>
        <w:tc>
          <w:tcPr>
            <w:tcW w:type="dxa" w:w="2880"/>
          </w:tcPr>
          <w:p>
            <w:r>
              <w:t>Phase 4 — Manual pages &amp; integrations</w:t>
            </w:r>
          </w:p>
        </w:tc>
        <w:tc>
          <w:tcPr>
            <w:tcW w:type="dxa" w:w="2880"/>
          </w:tcPr>
          <w:p>
            <w:r>
              <w:t>Weeks 7–10</w:t>
            </w:r>
          </w:p>
        </w:tc>
        <w:tc>
          <w:tcPr>
            <w:tcW w:type="dxa" w:w="2880"/>
          </w:tcPr>
          <w:p>
            <w:r>
              <w:t>Card pages, microsites, corporate, integrations, redirect fix.</w:t>
            </w:r>
          </w:p>
        </w:tc>
      </w:tr>
      <w:tr>
        <w:tc>
          <w:tcPr>
            <w:tcW w:type="dxa" w:w="2880"/>
          </w:tcPr>
          <w:p>
            <w:r>
              <w:t>Phase 5 — QA, UAT &amp; launch</w:t>
            </w:r>
          </w:p>
        </w:tc>
        <w:tc>
          <w:tcPr>
            <w:tcW w:type="dxa" w:w="2880"/>
          </w:tcPr>
          <w:p>
            <w:r>
              <w:t>Weeks 9–11</w:t>
            </w:r>
          </w:p>
        </w:tc>
        <w:tc>
          <w:tcPr>
            <w:tcW w:type="dxa" w:w="2880"/>
          </w:tcPr>
          <w:p>
            <w:r>
              <w:t>Bilingual QA, fixes, go-live.</w:t>
            </w:r>
          </w:p>
        </w:tc>
      </w:tr>
    </w:tbl>
    <w:p/>
    <w:p>
      <w:pPr>
        <w:pStyle w:val="Heading2"/>
      </w:pPr>
      <w:r>
        <w:t>6.4 Cost Summary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Effort (person-days)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Indicative range*</w:t>
            </w:r>
          </w:p>
        </w:tc>
      </w:tr>
      <w:tr>
        <w:tc>
          <w:tcPr>
            <w:tcW w:type="dxa" w:w="2880"/>
          </w:tcPr>
          <w:p>
            <w:r>
              <w:t>Low (optimistic)</w:t>
            </w:r>
          </w:p>
        </w:tc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60 × blended day-rate</w:t>
            </w:r>
          </w:p>
        </w:tc>
      </w:tr>
      <w:tr>
        <w:tc>
          <w:tcPr>
            <w:tcW w:type="dxa" w:w="2880"/>
          </w:tcPr>
          <w:p>
            <w:r>
              <w:t>High (conservative)</w:t>
            </w:r>
          </w:p>
        </w:tc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74 × blended day-rate</w:t>
            </w:r>
          </w:p>
        </w:tc>
      </w:tr>
    </w:tbl>
    <w:p/>
    <w:p>
      <w:r>
        <w:t>*Cost is expressed in person-days; apply your blended daily rate to convert to currency. As an illustration, at a representative offshore/near-shore blended rate of USD 500–700/day, the engagement falls roughly in the USD 30k–52k range. If migrated together with diners.co.jp, shared block/header/footer development could reduce combined effort by an estimated 15–20%. Replace with your contracted rate.</w:t>
      </w:r>
    </w:p>
    <w:p>
      <w:r>
        <w:br w:type="page"/>
      </w:r>
    </w:p>
    <w:p>
      <w:pPr>
        <w:pStyle w:val="Heading1"/>
      </w:pPr>
      <w:r>
        <w:t>7. Assumptions &amp; Notes</w:t>
      </w:r>
    </w:p>
    <w:p>
      <w:pPr>
        <w:pStyle w:val="ListBullet"/>
      </w:pPr>
      <w:r>
        <w:t>Page counts are taken from the live sitemaps (/sitemap.xml and /ja/Sitemap.xml) on the analysis date; 439 published pages across /ja/, /en/ and corporate areas.</w:t>
      </w:r>
    </w:p>
    <w:p>
      <w:pPr>
        <w:pStyle w:val="ListBullet"/>
      </w:pPr>
      <w:r>
        <w:t>Header/footer and the Club Online member system are shared with www.diners.co.jp; migrating both sites together amortizes shared development.</w:t>
      </w:r>
    </w:p>
    <w:p>
      <w:pPr>
        <w:pStyle w:val="ListBullet"/>
      </w:pPr>
      <w:r>
        <w:t>The 40 login/member-system pages and 7 system error pages are treated as functional/out-of-scope and re-pointed or replaced rather than migrated as content.</w:t>
      </w:r>
    </w:p>
    <w:p>
      <w:pPr>
        <w:pStyle w:val="ListBullet"/>
      </w:pPr>
      <w:r>
        <w:t>The Adobe Target rule that redirects sumitclub /ja/ pages to diners.co.jp must be disabled for the migrated estate.</w:t>
      </w:r>
    </w:p>
    <w:p>
      <w:pPr>
        <w:pStyle w:val="ListBullet"/>
      </w:pPr>
      <w:r>
        <w:t>External systems (Club Online, Helpfeel, application LPs, insurer app, search) remain on their current platforms and are linked/embedded, not rebuilt.</w:t>
      </w:r>
    </w:p>
    <w:p>
      <w:pPr>
        <w:pStyle w:val="ListBullet"/>
      </w:pPr>
      <w:r>
        <w:t>The team's Excel block/integration list was not available at writing time; Section 3.1 should be reconciled against it before finalizing scope.</w:t>
      </w:r>
    </w:p>
    <w:p>
      <w:pPr>
        <w:pStyle w:val="ListBullet"/>
      </w:pPr>
      <w:r>
        <w:t>Estimates assume a 2–3 engineer + 1 QA team and reuse of the EDS import accelerator; they exclude content rewriting, new design, translation, and post-launch support.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