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A00030"/>
          <w:sz w:val="60"/>
        </w:rPr>
        <w:t>Western Sydney University</w:t>
      </w:r>
    </w:p>
    <w:p>
      <w:pPr>
        <w:jc w:val="center"/>
      </w:pPr>
      <w:r>
        <w:rPr>
          <w:color w:val="333333"/>
          <w:sz w:val="34"/>
        </w:rPr>
        <w:t>Website Migration Analysis</w:t>
        <w:br/>
        <w:t>AEM → Adobe Edge Delivery Services</w:t>
      </w:r>
    </w:p>
    <w:p/>
    <w:p>
      <w:pPr>
        <w:jc w:val="center"/>
      </w:pPr>
      <w:r>
        <w:rPr>
          <w:color w:val="707070"/>
          <w:sz w:val="22"/>
        </w:rPr>
        <w:t>https://www.westernsydney.edu.au/</w:t>
        <w:br/>
        <w:t>9,925 pages analysed  ·  August 2026</w:t>
      </w:r>
    </w:p>
    <w:p>
      <w:r>
        <w:br w:type="page"/>
      </w:r>
    </w:p>
    <w:p>
      <w:pPr>
        <w:pStyle w:val="Heading1"/>
      </w:pPr>
      <w:r>
        <w:rPr>
          <w:color w:val="A00030"/>
        </w:rPr>
        <w:t>Contents</w:t>
      </w:r>
    </w:p>
    <w:p>
      <w:pPr>
        <w:spacing w:after="80"/>
      </w:pPr>
      <w:r>
        <w:rPr>
          <w:sz w:val="22"/>
        </w:rPr>
        <w:t>1. Executive Summary</w:t>
      </w:r>
    </w:p>
    <w:p>
      <w:pPr>
        <w:spacing w:after="80"/>
      </w:pPr>
      <w:r>
        <w:rPr>
          <w:sz w:val="22"/>
        </w:rPr>
        <w:t>2. Templates Inventory</w:t>
      </w:r>
    </w:p>
    <w:p>
      <w:pPr>
        <w:spacing w:after="80"/>
      </w:pPr>
      <w:r>
        <w:rPr>
          <w:sz w:val="22"/>
        </w:rPr>
        <w:t>3. Blocks / Components Catalog</w:t>
      </w:r>
    </w:p>
    <w:p>
      <w:pPr>
        <w:spacing w:after="80"/>
      </w:pPr>
      <w:r>
        <w:rPr>
          <w:sz w:val="22"/>
        </w:rPr>
        <w:t>4. Page Counts by Template</w:t>
      </w:r>
    </w:p>
    <w:p>
      <w:pPr>
        <w:spacing w:after="80"/>
      </w:pPr>
      <w:r>
        <w:rPr>
          <w:sz w:val="22"/>
        </w:rPr>
        <w:t>5. Integrations Analysis</w:t>
      </w:r>
    </w:p>
    <w:p>
      <w:pPr>
        <w:spacing w:after="80"/>
      </w:pPr>
      <w:r>
        <w:rPr>
          <w:sz w:val="22"/>
        </w:rPr>
        <w:t>6. Complex Use Cases &amp; Observations</w:t>
      </w:r>
    </w:p>
    <w:p>
      <w:pPr>
        <w:spacing w:after="80"/>
      </w:pPr>
      <w:r>
        <w:rPr>
          <w:sz w:val="22"/>
        </w:rPr>
        <w:t>Appendix: Template Screenshots</w:t>
      </w:r>
    </w:p>
    <w:p>
      <w:r>
        <w:br w:type="page"/>
      </w:r>
    </w:p>
    <w:p>
      <w:pPr>
        <w:pStyle w:val="Heading1"/>
      </w:pPr>
      <w:r>
        <w:rPr>
          <w:color w:val="A00030"/>
        </w:rPr>
        <w:t>1. Executive Summary</w:t>
      </w:r>
    </w:p>
    <w:p>
      <w:pPr>
        <w:spacing w:after="120"/>
      </w:pPr>
      <w:r>
        <w:rPr>
          <w:b w:val="0"/>
          <w:i w:val="0"/>
          <w:sz w:val="20"/>
        </w:rPr>
        <w:t>This document analyses the Western Sydney University (WSU) website for migration to Adobe Edge Delivery Services (EDS / aem.live). Analysis is based on the site's XML sitemap (9,925 pages), programmatic URL-pattern analysis, live inspection of representative pages across every template family, and rendered-DOM component extraction.</w:t>
      </w:r>
    </w:p>
    <w:p>
      <w:pPr>
        <w:spacing w:after="60"/>
      </w:pPr>
      <w:r>
        <w:rPr>
          <w:b/>
          <w:i w:val="0"/>
          <w:color w:val="A00030"/>
          <w:sz w:val="20"/>
        </w:rPr>
        <w:t>Headline finding — the migration is already substantially underway.</w:t>
      </w:r>
    </w:p>
    <w:p>
      <w:pPr>
        <w:spacing w:after="120"/>
      </w:pPr>
      <w:r>
        <w:rPr>
          <w:b w:val="0"/>
          <w:i w:val="0"/>
          <w:sz w:val="20"/>
        </w:rPr>
        <w:t>WSU runs two platforms in parallel behind one domain, and the direction of travel is clear from the evidence. The deep content estate — research-institute and centre microsites, schools, the entire News Centre, events and people pages (the ~9,900 sitemap URLs) — is ALREADY on Edge Delivery: pages declare a meta tag cms_type=EDS, load the EDS boilerplate (/scripts/aem.js, /scripts/scripts.js), serve EDS block tables via the .plain.html endpoint, and emit EDS RUM telemetry (rum.hlx.page). A random sample of 40 sitemap URLs returned 40/40 EDS. The residual classic-AEM surface is the corporate marketing shell — the homepage and top-level pages such as /future and /research (cms_type=AEM, ~109 /etc.clientlibs/ references, cmp-* Core Components), the corporate navigation and footer experience fragments, the bespoke news-events widget, the Algolia search integration, and AEM Adaptive Forms.</w:t>
      </w:r>
    </w:p>
    <w:p>
      <w:pPr>
        <w:pStyle w:val="Heading2"/>
      </w:pPr>
      <w:r>
        <w:rPr>
          <w:color w:val="A00030"/>
        </w:rPr>
        <w:t>Key Findings</w:t>
      </w:r>
    </w:p>
    <w:p>
      <w:pPr>
        <w:pStyle w:val="ListBullet"/>
      </w:pPr>
      <w:r>
        <w:rPr>
          <w:sz w:val="20"/>
        </w:rPr>
        <w:t>Platform: Adobe Experience Manager, mid-transition to Edge Delivery Services. Confirmed via clientlibs, cmp-* components, EDS boilerplate scripts, .plain.html block tables, and cms_type meta tags.</w:t>
      </w:r>
    </w:p>
    <w:p>
      <w:pPr>
        <w:pStyle w:val="ListBullet"/>
      </w:pPr>
      <w:r>
        <w:rPr>
          <w:sz w:val="20"/>
        </w:rPr>
        <w:t>9,925 pages in the sitemap — effectively all already rendered by Edge Delivery. The classic-AEM corporate pages are largely NOT in the sitemap and form a separate, much smaller set.</w:t>
      </w:r>
    </w:p>
    <w:p>
      <w:pPr>
        <w:pStyle w:val="ListBullet"/>
      </w:pPr>
      <w:r>
        <w:rPr>
          <w:sz w:val="20"/>
        </w:rPr>
        <w:t>~11 template archetypes, dominated by research-institute/centre microsites (40+ centres sharing a common sub-page pattern: about-us, our-people, research, projects, publications, events, news).</w:t>
      </w:r>
    </w:p>
    <w:p>
      <w:pPr>
        <w:pStyle w:val="ListBullet"/>
      </w:pPr>
      <w:r>
        <w:rPr>
          <w:sz w:val="20"/>
        </w:rPr>
        <w:t>~1,870 News-story detail pages and ~884 event pages — highly standardised, ideal for automated handling.</w:t>
      </w:r>
    </w:p>
    <w:p>
      <w:pPr>
        <w:pStyle w:val="ListBullet"/>
      </w:pPr>
      <w:r>
        <w:rPr>
          <w:sz w:val="20"/>
        </w:rPr>
        <w:t>~15 reusable blocks. The EDS target vocabulary (hero, cards, carousel, columns, table, accordions, dynamic news-list, nav/footer fragments) already exists and is proven in production across thousands of pages — this de-risks the remaining work.</w:t>
      </w:r>
    </w:p>
    <w:p>
      <w:pPr>
        <w:pStyle w:val="ListBullet"/>
      </w:pPr>
      <w:r>
        <w:rPr>
          <w:sz w:val="20"/>
        </w:rPr>
        <w:t>Navigation and footer on EDS pages are authored as content fragments (per-microsite nav pages + a shared /footer), rather than hard-coded — a clean, maintainable pattern.</w:t>
      </w:r>
    </w:p>
    <w:p>
      <w:pPr>
        <w:pStyle w:val="ListBullet"/>
      </w:pPr>
      <w:r>
        <w:rPr>
          <w:sz w:val="20"/>
        </w:rPr>
        <w:t>Extensive martech: a single Adobe DTM/Launch library orchestrates two GTM containers, Adobe Audience Manager, and an unusually large ad-pixel farm (Meta ×5 IDs, TikTok ×4, Snapchat, LinkedIn, Google Ads ×3, Floodlight, Spotify) aimed at student recruitment. Consent via OneTrust.</w:t>
      </w:r>
    </w:p>
    <w:p>
      <w:pPr>
        <w:pStyle w:val="ListBullet"/>
      </w:pPr>
      <w:r>
        <w:rPr>
          <w:sz w:val="20"/>
        </w:rPr>
        <w:t>Higher-effort integrations to re-engineer: Algolia search (5 production indices incl. courses), AEM Adaptive Forms, Genesys PureCloud live chat, and Qualtrics intercepts.</w:t>
      </w:r>
    </w:p>
    <w:p>
      <w:pPr>
        <w:pStyle w:val="ListBullet"/>
      </w:pPr>
      <w:r>
        <w:rPr>
          <w:sz w:val="20"/>
        </w:rPr>
        <w:t>Enterprise systems on separate subdomains (handbook, apply, library→LibCal, login→Okta, goglobal, careers) are out of CMS scope; the site only links to them.</w:t>
      </w:r>
    </w:p>
    <w:p>
      <w:pPr>
        <w:pStyle w:val="ListBullet"/>
      </w:pPr>
      <w:r>
        <w:rPr>
          <w:sz w:val="20"/>
        </w:rPr>
        <w:t>Access note: the site returns HTTP 406 to non-browser agents; all analysis used browser headers.</w:t>
      </w:r>
    </w:p>
    <w:p>
      <w:r>
        <w:br w:type="page"/>
      </w:r>
    </w:p>
    <w:p>
      <w:pPr>
        <w:pStyle w:val="Heading1"/>
      </w:pPr>
      <w:r>
        <w:rPr>
          <w:color w:val="A00030"/>
        </w:rPr>
        <w:t>2. Templates Inventory</w:t>
      </w:r>
    </w:p>
    <w:p>
      <w:pPr>
        <w:spacing w:after="120"/>
      </w:pPr>
      <w:r>
        <w:rPr>
          <w:b w:val="0"/>
          <w:i w:val="0"/>
          <w:sz w:val="20"/>
        </w:rPr>
        <w:t>Template archetypes observed across the estate. 'Stack' notes whether the template is already on Edge Delivery (EDS) or remains on classic AEM. Complexity reflects effort to (re)build/verify the template in the EDS target state.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041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680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1020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742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2948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URL(s)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T01 Corporate Homepage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AEM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Complex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Only page still on classic AEM Core Components; bespoke news-events widget (news+events+calendar+gallery), promo bands, embedded Adaptive Forms, Algolia.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  <w:tr>
        <w:tc>
          <w:tcPr>
            <w:tcW w:type="dxa" w:w="2041"/>
            <w:shd w:fill="F5E9EE" w:val="clear"/>
          </w:tcPr>
          <w:p>
            <w:r/>
            <w:r>
              <w:rPr>
                <w:sz w:val="17"/>
              </w:rPr>
              <w:t>T02 Corporate Marketing Page</w:t>
            </w:r>
          </w:p>
        </w:tc>
        <w:tc>
          <w:tcPr>
            <w:tcW w:type="dxa" w:w="680"/>
            <w:shd w:fill="F5E9EE" w:val="clear"/>
          </w:tcPr>
          <w:p>
            <w:r/>
            <w:r>
              <w:rPr>
                <w:sz w:val="17"/>
              </w:rPr>
              <w:t>AEM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Complex</w:t>
            </w:r>
          </w:p>
        </w:tc>
        <w:tc>
          <w:tcPr>
            <w:tcW w:type="dxa" w:w="3742"/>
            <w:shd w:fill="F5E9EE" w:val="clear"/>
          </w:tcPr>
          <w:p>
            <w:r/>
            <w:r>
              <w:rPr>
                <w:sz w:val="17"/>
              </w:rPr>
              <w:t>Top-level recruitment pages on classic AEM; rich hero/promo layouts + Algolia course search + pixels.</w:t>
            </w:r>
          </w:p>
        </w:tc>
        <w:tc>
          <w:tcPr>
            <w:tcW w:type="dxa" w:w="2948"/>
            <w:shd w:fill="F5E9EE" w:val="clear"/>
          </w:tcPr>
          <w:p>
            <w:r/>
            <w:r>
              <w:rPr>
                <w:sz w:val="17"/>
              </w:rPr>
              <w:t>https://www.westernsydney.edu.au/future</w:t>
              <w:br/>
              <w:t>https://www.westernsydney.edu.au/research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T03 Microsite Landing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Institute/centre/school landing: per-microsite nav fragment + hero + carousel + cards + dynamic news list. Repeats across 40+ centres.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https://www.westernsydney.edu.au/ics</w:t>
              <w:br/>
              <w:t>https://www.westernsydney.edu.au/schools/grs</w:t>
            </w:r>
          </w:p>
        </w:tc>
      </w:tr>
      <w:tr>
        <w:tc>
          <w:tcPr>
            <w:tcW w:type="dxa" w:w="2041"/>
            <w:shd w:fill="F5E9EE" w:val="clear"/>
          </w:tcPr>
          <w:p>
            <w:r/>
            <w:r>
              <w:rPr>
                <w:sz w:val="17"/>
              </w:rPr>
              <w:t>T04 Generic Content / Rich-Text</w:t>
            </w:r>
          </w:p>
        </w:tc>
        <w:tc>
          <w:tcPr>
            <w:tcW w:type="dxa" w:w="680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3742"/>
            <w:shd w:fill="F5E9EE" w:val="clear"/>
          </w:tcPr>
          <w:p>
            <w:r/>
            <w:r>
              <w:rPr>
                <w:sz w:val="17"/>
              </w:rPr>
              <w:t>Default content (headings, paragraphs, links) + occasional cards/columns/table. The long tail (about-us, policy, scholarships, info pages).</w:t>
            </w:r>
          </w:p>
        </w:tc>
        <w:tc>
          <w:tcPr>
            <w:tcW w:type="dxa" w:w="2948"/>
            <w:shd w:fill="F5E9EE" w:val="clear"/>
          </w:tcPr>
          <w:p>
            <w:r/>
            <w:r>
              <w:rPr>
                <w:sz w:val="17"/>
              </w:rPr>
              <w:t>https://www.westernsydney.edu.au/ics/about-us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T05 News Centre Hub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Combines dynamic news-list (query/limit/pagination) with curated table-based story lists.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https://www.westernsydney.edu.au/news-centre</w:t>
            </w:r>
          </w:p>
        </w:tc>
      </w:tr>
      <w:tr>
        <w:tc>
          <w:tcPr>
            <w:tcW w:type="dxa" w:w="2041"/>
            <w:shd w:fill="F5E9EE" w:val="clear"/>
          </w:tcPr>
          <w:p>
            <w:r/>
            <w:r>
              <w:rPr>
                <w:sz w:val="17"/>
              </w:rPr>
              <w:t>T06 News Story Detail</w:t>
            </w:r>
          </w:p>
        </w:tc>
        <w:tc>
          <w:tcPr>
            <w:tcW w:type="dxa" w:w="680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Simple-Medium</w:t>
            </w:r>
          </w:p>
        </w:tc>
        <w:tc>
          <w:tcPr>
            <w:tcW w:type="dxa" w:w="3742"/>
            <w:shd w:fill="F5E9EE" w:val="clear"/>
          </w:tcPr>
          <w:p>
            <w:r/>
            <w:r>
              <w:rPr>
                <w:sz w:val="17"/>
              </w:rPr>
              <w:t>Rich-text body + inline images + optional accordions. ~1,870 pages, highly uniform.</w:t>
            </w:r>
          </w:p>
        </w:tc>
        <w:tc>
          <w:tcPr>
            <w:tcW w:type="dxa" w:w="2948"/>
            <w:shd w:fill="F5E9EE" w:val="clear"/>
          </w:tcPr>
          <w:p>
            <w:r/>
            <w:r>
              <w:rPr>
                <w:sz w:val="17"/>
              </w:rPr>
              <w:t>https://www.westernsydney.edu.au/news-centre/stories/2025/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T07 News Listing by Year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Single dynamic news-list block bound to a year index.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https://www.westernsydney.edu.au/news-centre/stories/2026</w:t>
            </w:r>
          </w:p>
        </w:tc>
      </w:tr>
      <w:tr>
        <w:tc>
          <w:tcPr>
            <w:tcW w:type="dxa" w:w="2041"/>
            <w:shd w:fill="F5E9EE" w:val="clear"/>
          </w:tcPr>
          <w:p>
            <w:r/>
            <w:r>
              <w:rPr>
                <w:sz w:val="17"/>
              </w:rPr>
              <w:t>T08 Expert Opinion / Student Spotlight</w:t>
            </w:r>
          </w:p>
        </w:tc>
        <w:tc>
          <w:tcPr>
            <w:tcW w:type="dxa" w:w="680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Simple-Medium</w:t>
            </w:r>
          </w:p>
        </w:tc>
        <w:tc>
          <w:tcPr>
            <w:tcW w:type="dxa" w:w="3742"/>
            <w:shd w:fill="F5E9EE" w:val="clear"/>
          </w:tcPr>
          <w:p>
            <w:r/>
            <w:r>
              <w:rPr>
                <w:sz w:val="17"/>
              </w:rPr>
              <w:t>Article variant of the news story template. ~134 pages.</w:t>
            </w:r>
          </w:p>
        </w:tc>
        <w:tc>
          <w:tcPr>
            <w:tcW w:type="dxa" w:w="2948"/>
            <w:shd w:fill="F5E9EE" w:val="clear"/>
          </w:tcPr>
          <w:p>
            <w:r/>
            <w:r>
              <w:rPr>
                <w:sz w:val="17"/>
              </w:rPr>
              <w:t>https://www.westernsydney.edu.au/news-centre/expert-opinion/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T09 Events Listing / Archive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Table-based (and index-driven) event lists per microsite. ~884 pages.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https://www.westernsydney.edu.au/babylab/events/previous-events</w:t>
            </w:r>
          </w:p>
        </w:tc>
      </w:tr>
      <w:tr>
        <w:tc>
          <w:tcPr>
            <w:tcW w:type="dxa" w:w="2041"/>
            <w:shd w:fill="F5E9EE" w:val="clear"/>
          </w:tcPr>
          <w:p>
            <w:r/>
            <w:r>
              <w:rPr>
                <w:sz w:val="17"/>
              </w:rPr>
              <w:t>T10 People / Team Listing</w:t>
            </w:r>
          </w:p>
        </w:tc>
        <w:tc>
          <w:tcPr>
            <w:tcW w:type="dxa" w:w="680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Simple-Medium</w:t>
            </w:r>
          </w:p>
        </w:tc>
        <w:tc>
          <w:tcPr>
            <w:tcW w:type="dxa" w:w="3742"/>
            <w:shd w:fill="F5E9EE" w:val="clear"/>
          </w:tcPr>
          <w:p>
            <w:r/>
            <w:r>
              <w:rPr>
                <w:sz w:val="17"/>
              </w:rPr>
              <w:t>Grid/cards of people and leadership. ~250+ pages.</w:t>
            </w:r>
          </w:p>
        </w:tc>
        <w:tc>
          <w:tcPr>
            <w:tcW w:type="dxa" w:w="2948"/>
            <w:shd w:fill="F5E9EE" w:val="clear"/>
          </w:tcPr>
          <w:p>
            <w:r/>
            <w:r>
              <w:rPr>
                <w:sz w:val="17"/>
              </w:rPr>
              <w:t>https://www.westernsydney.edu.au/challenging-racism-project/our-people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T11 Nav &amp; Footer Fragments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Navigation authored per-microsite as a page (header-fragment meta); shared /footer fragment. Not a visitor page type but a reusable authored template.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https://www.westernsydney.edu.au/ics/nav</w:t>
              <w:br/>
              <w:t>https://www.westernsydney.edu.au/footer</w:t>
            </w:r>
          </w:p>
        </w:tc>
      </w:tr>
      <w:tr>
        <w:tc>
          <w:tcPr>
            <w:tcW w:type="dxa" w:w="2041"/>
            <w:shd w:fill="F5E9EE" w:val="clear"/>
          </w:tcPr>
          <w:p>
            <w:r/>
            <w:r>
              <w:rPr>
                <w:sz w:val="17"/>
              </w:rPr>
              <w:t>T12 AEM Adaptive Form</w:t>
            </w:r>
          </w:p>
        </w:tc>
        <w:tc>
          <w:tcPr>
            <w:tcW w:type="dxa" w:w="680"/>
            <w:shd w:fill="F5E9EE" w:val="clear"/>
          </w:tcPr>
          <w:p>
            <w:r/>
            <w:r>
              <w:rPr>
                <w:sz w:val="17"/>
              </w:rPr>
              <w:t>AEM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Complex</w:t>
            </w:r>
          </w:p>
        </w:tc>
        <w:tc>
          <w:tcPr>
            <w:tcW w:type="dxa" w:w="3742"/>
            <w:shd w:fill="F5E9EE" w:val="clear"/>
          </w:tcPr>
          <w:p>
            <w:r/>
            <w:r>
              <w:rPr>
                <w:sz w:val="17"/>
              </w:rPr>
              <w:t>fd/af runtime clientlibs; multi-step wizard + accordion forms. No native EDS equivalent.</w:t>
            </w:r>
          </w:p>
        </w:tc>
        <w:tc>
          <w:tcPr>
            <w:tcW w:type="dxa" w:w="2948"/>
            <w:shd w:fill="F5E9EE" w:val="clear"/>
          </w:tcPr>
          <w:p>
            <w:r/>
            <w:r>
              <w:rPr>
                <w:sz w:val="17"/>
              </w:rPr>
              <w:t>(embedded on homepage / enquiry pages)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A00030"/>
        </w:rPr>
        <w:t>3. Blocks / Components Catalog</w:t>
      </w:r>
    </w:p>
    <w:p>
      <w:pPr>
        <w:spacing w:after="120"/>
      </w:pPr>
      <w:r>
        <w:rPr>
          <w:b w:val="0"/>
          <w:i w:val="0"/>
          <w:sz w:val="20"/>
        </w:rPr>
        <w:t>Reusable blocks, grouping visual variants of one content model as a single block with variants noted. The EDS blocks below are already live in production; the AEM Core Components are the residual homepage/corporate set to be reproduced as EDS blocks.</w:t>
      </w:r>
    </w:p>
    <w:p>
      <w:pPr>
        <w:pStyle w:val="Heading2"/>
      </w:pPr>
      <w:r>
        <w:rPr>
          <w:color w:val="A00030"/>
        </w:rPr>
        <w:t>3.1 Edge Delivery Blocks (interior estate — already live)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49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1020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4309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Behaviour &amp; Functionality</w:t>
            </w:r>
          </w:p>
        </w:tc>
        <w:tc>
          <w:tcPr>
            <w:tcW w:type="dxa" w:w="2608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URL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Hero (variants: tint-low, title-secondary, white title/description)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Full-width banner image + heading + intro + CTA.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https://www.westernsydney.edu.au/schools/grs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Carousel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Rotating slides: image link + heading + sub-heading + 'Find out more' link.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https://www.westernsydney.edu.au/ics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Cards (variants: light-grey, off-white, crimson; btn-outline)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Responsive grid of image + heading + text + optional button. Colour variants are the main design lever.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https://www.westernsydney.edu.au/schools/grs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Columns (incl. button-list variant)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Simple-Medium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Multi-column layout; button-list renders a row of CTAs; section background via section-metadata.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https://www.westernsydney.edu.au/schools/grs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Table (variants: dynamic-width, no-header, no-border, two-column-table)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Simple-Medium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Flexible table used for data AND as a curated media-list layout (image % + text %). Heavily reused for story lists.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https://www.westernsydney.edu.au/news-centre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News-list (dynamic)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Complex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Index/query-driven feed: config rows for query, limit, pagination; renders latest stories automatically.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https://www.westernsydney.edu.au/news-centre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Accordions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Expand/collapse panels, each title + rich content (images, paragraphs). Used within news stories.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https://www.westernsydney.edu.au/news-centre/stories/2025/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Global Navigation (fragment block)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Nested mega-menu authored as a page + section-metadata config (search link, sign-in label, red CTA, logo). Per-microsite.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https://www.westernsydney.edu.au/ics/nav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Global Footer (fragment block)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Simple-Medium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Shared columns layout + social/contact icons (facebook, instagram, linkedin, tiktok, phone, location).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https://www.westernsydney.edu.au/footer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Default content (headings, paragraphs, links, picture, buttons)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Standard EDS auto-decorated content; images auto-optimised (webp/jpg srcset via the aem.live pipeline).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https://www.westernsydney.edu.au/ics/about-us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Section metadata (styling primitive)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Sets section background/name and carries block config (not a visual block).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https://www.westernsydney.edu.au/schools/grs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Video embed (YouTube)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Embedded YouTube player.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</w:tbl>
    <w:p>
      <w:pPr>
        <w:pStyle w:val="Heading2"/>
      </w:pPr>
      <w:r>
        <w:rPr>
          <w:color w:val="A00030"/>
        </w:rPr>
        <w:t>3.2 Classic AEM Core Components (homepage / corporate — to be rebuilt as EDS blocks)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49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020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4309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Behaviour &amp; Functionality</w:t>
            </w:r>
          </w:p>
        </w:tc>
        <w:tc>
          <w:tcPr>
            <w:tcW w:type="dxa" w:w="2608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URL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News &amp; Events (cmp-news-events)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Complex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Bespoke composite: news + events cards, image gallery, and a calendar. Closest EDS analog = dynamic news-list + table.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Promo Band (cmp-promo-block--band)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Full-width promotional band (multiple instances).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Button (cmp-button ×6 variants)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solid / outline / text / black / white / red variants.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Container / Title / Text / Image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Simple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Standard AEM Core WCM building blocks.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7"/>
              </w:rPr>
              <w:t>Experience Fragment (corporate nav &amp; footer)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4309"/>
          </w:tcPr>
          <w:p>
            <w:r/>
            <w:r>
              <w:rPr>
                <w:sz w:val="17"/>
              </w:rPr>
              <w:t>Classic AEM XF for the corporate shell — to be re-expressed as EDS nav/footer fragments (already done for microsites).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https://www.westernsydney.edu.au/</w:t>
            </w:r>
          </w:p>
        </w:tc>
      </w:tr>
      <w:tr>
        <w:tc>
          <w:tcPr>
            <w:tcW w:type="dxa" w:w="2494"/>
            <w:shd w:fill="F5E9EE" w:val="clear"/>
          </w:tcPr>
          <w:p>
            <w:r/>
            <w:r>
              <w:rPr>
                <w:sz w:val="17"/>
              </w:rPr>
              <w:t>Algolia Search (custom web components)</w:t>
            </w:r>
          </w:p>
        </w:tc>
        <w:tc>
          <w:tcPr>
            <w:tcW w:type="dxa" w:w="1020"/>
            <w:shd w:fill="F5E9EE" w:val="clear"/>
          </w:tcPr>
          <w:p>
            <w:r/>
            <w:r>
              <w:rPr>
                <w:sz w:val="17"/>
              </w:rPr>
              <w:t>Complex</w:t>
            </w:r>
          </w:p>
        </w:tc>
        <w:tc>
          <w:tcPr>
            <w:tcW w:type="dxa" w:w="4309"/>
            <w:shd w:fill="F5E9EE" w:val="clear"/>
          </w:tcPr>
          <w:p>
            <w:r/>
            <w:r>
              <w:rPr>
                <w:sz w:val="17"/>
              </w:rPr>
              <w:t>algolia-autocomplete / -configure / -hit-template reading 5 indices incl. courses.</w:t>
            </w:r>
          </w:p>
        </w:tc>
        <w:tc>
          <w:tcPr>
            <w:tcW w:type="dxa" w:w="2608"/>
            <w:shd w:fill="F5E9EE" w:val="clear"/>
          </w:tcPr>
          <w:p>
            <w:r/>
            <w:r>
              <w:rPr>
                <w:sz w:val="17"/>
              </w:rPr>
              <w:t>https://www.westernsydney.edu.au/future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A00030"/>
        </w:rPr>
        <w:t>3.3 Illustrative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to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1: Corporate Homepage (T01) — classic AEM, cmp-news-events, promo bands.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itute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2: Research-institute microsite landing /ics (T03) — EDS hero, carousel, cards.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story_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3: News story detail (T06) — EDS rich-text + accordions.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centre_to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4: News Centre hub (T05) — EDS dynamic news-list + curated tables.</w:t>
      </w:r>
    </w:p>
    <w:p>
      <w:r>
        <w:br w:type="page"/>
      </w:r>
    </w:p>
    <w:p>
      <w:pPr>
        <w:pStyle w:val="Heading1"/>
      </w:pPr>
      <w:r>
        <w:rPr>
          <w:color w:val="A00030"/>
        </w:rPr>
        <w:t>4. Page Counts by Template</w:t>
      </w:r>
    </w:p>
    <w:p>
      <w:pPr>
        <w:spacing w:after="120"/>
      </w:pPr>
      <w:r>
        <w:rPr>
          <w:b w:val="0"/>
          <w:i w:val="0"/>
          <w:sz w:val="20"/>
        </w:rPr>
        <w:t>Counts derive from URL-pattern analysis of the 9,925-page sitemap. Because the interior estate is already on Edge Delivery, 'migration type' below reflects the residual effort: RE-PLATFORM for the classic-AEM corporate pages, and VALIDATE/RE-HOST for pages already on EDS (confirm block fidelity, metadata, redirects — largely automatable).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381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62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113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Est. Pages</w:t>
            </w:r>
          </w:p>
        </w:tc>
        <w:tc>
          <w:tcPr>
            <w:tcW w:type="dxa" w:w="147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Migration Type</w:t>
            </w:r>
          </w:p>
        </w:tc>
        <w:tc>
          <w:tcPr>
            <w:tcW w:type="dxa" w:w="3628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 / Rationale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T06 News Story Detail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~1,870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Automatic (validate)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Uniform rich-text + images; already EDS. Bulk-verify.</w:t>
            </w:r>
          </w:p>
        </w:tc>
      </w:tr>
      <w:tr>
        <w:tc>
          <w:tcPr>
            <w:tcW w:type="dxa" w:w="2381"/>
            <w:shd w:fill="F5E9EE" w:val="clear"/>
          </w:tcPr>
          <w:p>
            <w:r/>
            <w:r>
              <w:rPr>
                <w:sz w:val="17"/>
              </w:rPr>
              <w:t>T09 Events Listing / Archive</w:t>
            </w:r>
          </w:p>
        </w:tc>
        <w:tc>
          <w:tcPr>
            <w:tcW w:type="dxa" w:w="624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  <w:shd w:fill="F5E9EE" w:val="clear"/>
          </w:tcPr>
          <w:p>
            <w:r/>
            <w:r>
              <w:rPr>
                <w:sz w:val="17"/>
              </w:rPr>
              <w:t>~884</w:t>
            </w:r>
          </w:p>
        </w:tc>
        <w:tc>
          <w:tcPr>
            <w:tcW w:type="dxa" w:w="1474"/>
            <w:shd w:fill="F5E9EE" w:val="clear"/>
          </w:tcPr>
          <w:p>
            <w:r/>
            <w:r>
              <w:rPr>
                <w:sz w:val="17"/>
              </w:rPr>
              <w:t>Automatic (validate)</w:t>
            </w:r>
          </w:p>
        </w:tc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Table/index-driven lists; already EDS.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T10 People / Team Listing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~250+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Automatic (validate)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Card/grid people lists; already EDS.</w:t>
            </w:r>
          </w:p>
        </w:tc>
      </w:tr>
      <w:tr>
        <w:tc>
          <w:tcPr>
            <w:tcW w:type="dxa" w:w="2381"/>
            <w:shd w:fill="F5E9EE" w:val="clear"/>
          </w:tcPr>
          <w:p>
            <w:r/>
            <w:r>
              <w:rPr>
                <w:sz w:val="17"/>
              </w:rPr>
              <w:t>T08 Expert Opinion / Spotlight</w:t>
            </w:r>
          </w:p>
        </w:tc>
        <w:tc>
          <w:tcPr>
            <w:tcW w:type="dxa" w:w="624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  <w:shd w:fill="F5E9EE" w:val="clear"/>
          </w:tcPr>
          <w:p>
            <w:r/>
            <w:r>
              <w:rPr>
                <w:sz w:val="17"/>
              </w:rPr>
              <w:t>~134</w:t>
            </w:r>
          </w:p>
        </w:tc>
        <w:tc>
          <w:tcPr>
            <w:tcW w:type="dxa" w:w="1474"/>
            <w:shd w:fill="F5E9EE" w:val="clear"/>
          </w:tcPr>
          <w:p>
            <w:r/>
            <w:r>
              <w:rPr>
                <w:sz w:val="17"/>
              </w:rPr>
              <w:t>Automatic (validate)</w:t>
            </w:r>
          </w:p>
        </w:tc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Article variant; already EDS.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T05 News Centre Hub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~15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Semi-Automatic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Dynamic news-list config to verify.</w:t>
            </w:r>
          </w:p>
        </w:tc>
      </w:tr>
      <w:tr>
        <w:tc>
          <w:tcPr>
            <w:tcW w:type="dxa" w:w="2381"/>
            <w:shd w:fill="F5E9EE" w:val="clear"/>
          </w:tcPr>
          <w:p>
            <w:r/>
            <w:r>
              <w:rPr>
                <w:sz w:val="17"/>
              </w:rPr>
              <w:t>T07 News Listing by Year</w:t>
            </w:r>
          </w:p>
        </w:tc>
        <w:tc>
          <w:tcPr>
            <w:tcW w:type="dxa" w:w="624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  <w:shd w:fill="F5E9EE" w:val="clear"/>
          </w:tcPr>
          <w:p>
            <w:r/>
            <w:r>
              <w:rPr>
                <w:sz w:val="17"/>
              </w:rPr>
              <w:t>~7</w:t>
            </w:r>
          </w:p>
        </w:tc>
        <w:tc>
          <w:tcPr>
            <w:tcW w:type="dxa" w:w="1474"/>
            <w:shd w:fill="F5E9EE" w:val="clear"/>
          </w:tcPr>
          <w:p>
            <w:r/>
            <w:r>
              <w:rPr>
                <w:sz w:val="17"/>
              </w:rPr>
              <w:t>Automatic (validate)</w:t>
            </w:r>
          </w:p>
        </w:tc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Single dynamic block per year.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T03 Microsite Landing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~300-400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Semi-Automatic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40+ centres; hero/carousel/cards + nav fragment per site; verify config.</w:t>
            </w:r>
          </w:p>
        </w:tc>
      </w:tr>
      <w:tr>
        <w:tc>
          <w:tcPr>
            <w:tcW w:type="dxa" w:w="2381"/>
            <w:shd w:fill="F5E9EE" w:val="clear"/>
          </w:tcPr>
          <w:p>
            <w:r/>
            <w:r>
              <w:rPr>
                <w:sz w:val="17"/>
              </w:rPr>
              <w:t>T04 Generic Content / Rich-Text</w:t>
            </w:r>
          </w:p>
        </w:tc>
        <w:tc>
          <w:tcPr>
            <w:tcW w:type="dxa" w:w="624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  <w:shd w:fill="F5E9EE" w:val="clear"/>
          </w:tcPr>
          <w:p>
            <w:r/>
            <w:r>
              <w:rPr>
                <w:sz w:val="17"/>
              </w:rPr>
              <w:t>~6,300</w:t>
            </w:r>
          </w:p>
        </w:tc>
        <w:tc>
          <w:tcPr>
            <w:tcW w:type="dxa" w:w="1474"/>
            <w:shd w:fill="F5E9EE" w:val="clear"/>
          </w:tcPr>
          <w:p>
            <w:r/>
            <w:r>
              <w:rPr>
                <w:sz w:val="17"/>
              </w:rPr>
              <w:t>Automatic (validate)</w:t>
            </w:r>
          </w:p>
        </w:tc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Long tail of about/policy/info/publication pages; already EDS default content.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T11 Nav &amp; Footer Fragments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~40+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Semi-Automatic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One nav fragment per microsite + shared footer.</w:t>
            </w:r>
          </w:p>
        </w:tc>
      </w:tr>
      <w:tr>
        <w:tc>
          <w:tcPr>
            <w:tcW w:type="dxa" w:w="2381"/>
            <w:shd w:fill="F5E9EE" w:val="clear"/>
          </w:tcPr>
          <w:p>
            <w:r/>
            <w:r>
              <w:rPr>
                <w:sz w:val="17"/>
              </w:rPr>
              <w:t>T01/T02 Corporate Homepage &amp; Marketing</w:t>
            </w:r>
          </w:p>
        </w:tc>
        <w:tc>
          <w:tcPr>
            <w:tcW w:type="dxa" w:w="624"/>
            <w:shd w:fill="F5E9EE" w:val="clear"/>
          </w:tcPr>
          <w:p>
            <w:r/>
            <w:r>
              <w:rPr>
                <w:sz w:val="17"/>
              </w:rPr>
              <w:t>AEM</w:t>
            </w:r>
          </w:p>
        </w:tc>
        <w:tc>
          <w:tcPr>
            <w:tcW w:type="dxa" w:w="1134"/>
            <w:shd w:fill="F5E9EE" w:val="clear"/>
          </w:tcPr>
          <w:p>
            <w:r/>
            <w:r>
              <w:rPr>
                <w:sz w:val="17"/>
              </w:rPr>
              <w:t>~10-40</w:t>
            </w:r>
          </w:p>
        </w:tc>
        <w:tc>
          <w:tcPr>
            <w:tcW w:type="dxa" w:w="1474"/>
            <w:shd w:fill="F5E9EE" w:val="clear"/>
          </w:tcPr>
          <w:p>
            <w:r/>
            <w:r>
              <w:rPr>
                <w:sz w:val="17"/>
              </w:rPr>
              <w:t>Manual (re-platform)</w:t>
            </w:r>
          </w:p>
        </w:tc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Classic AEM; bespoke widgets, promo bands, Algolia. Not in sitemap.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T12 AEM Adaptive Forms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AEM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~10-30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Manual (re-build)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Adaptive Forms have no native EDS equivalent.</w:t>
            </w:r>
          </w:p>
        </w:tc>
      </w:tr>
      <w:tr>
        <w:tc>
          <w:tcPr>
            <w:tcW w:type="dxa" w:w="2381"/>
            <w:shd w:fill="F5E9EE" w:val="clear"/>
          </w:tcPr>
          <w:p>
            <w:r/>
            <w:r>
              <w:rPr>
                <w:sz w:val="17"/>
              </w:rPr>
              <w:t>TOTAL (sitemap, EDS)</w:t>
            </w:r>
          </w:p>
        </w:tc>
        <w:tc>
          <w:tcPr>
            <w:tcW w:type="dxa" w:w="624"/>
            <w:shd w:fill="F5E9EE" w:val="clear"/>
          </w:tcPr>
          <w:p>
            <w:r/>
            <w:r>
              <w:rPr>
                <w:sz w:val="17"/>
              </w:rPr>
              <w:t>EDS</w:t>
            </w:r>
          </w:p>
        </w:tc>
        <w:tc>
          <w:tcPr>
            <w:tcW w:type="dxa" w:w="1134"/>
            <w:shd w:fill="F5E9EE" w:val="clear"/>
          </w:tcPr>
          <w:p>
            <w:r/>
            <w:r>
              <w:rPr>
                <w:sz w:val="17"/>
              </w:rPr>
              <w:t>9,925</w:t>
            </w:r>
          </w:p>
        </w:tc>
        <w:tc>
          <w:tcPr>
            <w:tcW w:type="dxa" w:w="1474"/>
            <w:shd w:fill="F5E9EE" w:val="clear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Overwhelmingly already on Edge Delivery.</w:t>
            </w:r>
          </w:p>
        </w:tc>
      </w:tr>
    </w:tbl>
    <w:p>
      <w:pPr>
        <w:pStyle w:val="Heading2"/>
      </w:pPr>
      <w:r>
        <w:rPr>
          <w:color w:val="A00030"/>
        </w:rPr>
        <w:t>4.1 Migration Automatability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628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47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Est. Pages</w:t>
            </w:r>
          </w:p>
        </w:tc>
        <w:tc>
          <w:tcPr>
            <w:tcW w:type="dxa" w:w="4535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Includes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7"/>
              </w:rPr>
              <w:t>Already on EDS — validate/re-host (largely automatic)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~9,800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News, events, people, microsite content, generic pages. Confirm block fidelity, metadata, redirects.</w:t>
            </w:r>
          </w:p>
        </w:tc>
      </w:tr>
      <w:tr>
        <w:tc>
          <w:tcPr>
            <w:tcW w:type="dxa" w:w="3628"/>
            <w:shd w:fill="F5E9EE" w:val="clear"/>
          </w:tcPr>
          <w:p>
            <w:r/>
            <w:r>
              <w:rPr>
                <w:sz w:val="17"/>
              </w:rPr>
              <w:t>Semi-automatic (config verification)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7"/>
              </w:rPr>
              <w:t>~350-450</w:t>
            </w:r>
          </w:p>
        </w:tc>
        <w:tc>
          <w:tcPr>
            <w:tcW w:type="dxa" w:w="4535"/>
            <w:shd w:fill="F5E9EE" w:val="clear"/>
          </w:tcPr>
          <w:p>
            <w:r/>
            <w:r>
              <w:rPr>
                <w:sz w:val="17"/>
              </w:rPr>
              <w:t>Microsite landings, news-centre hub, nav/footer fragments.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7"/>
              </w:rPr>
              <w:t>Manual re-platform / re-build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~20-70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Classic-AEM corporate homepage &amp; marketing pages, Adaptive Forms, Algolia search block.</w:t>
            </w:r>
          </w:p>
        </w:tc>
      </w:tr>
    </w:tbl>
    <w:p>
      <w:pPr>
        <w:spacing w:after="120"/>
      </w:pPr>
      <w:r>
        <w:rPr>
          <w:b w:val="0"/>
          <w:i/>
          <w:color w:val="707070"/>
          <w:sz w:val="18"/>
        </w:rPr>
        <w:t>Because ~99% of sitemap pages already render on Edge Delivery, the dominant activity is validation and cut-over rather than content re-authoring. The concentrated manual effort is the small but complex corporate/marketing shell, forms, and search.</w:t>
      </w:r>
    </w:p>
    <w:p>
      <w:r>
        <w:br w:type="page"/>
      </w:r>
    </w:p>
    <w:p>
      <w:pPr>
        <w:pStyle w:val="Heading1"/>
      </w:pPr>
      <w:r>
        <w:rPr>
          <w:color w:val="A00030"/>
        </w:rPr>
        <w:t>5. Integrations Analysis</w:t>
      </w:r>
    </w:p>
    <w:p>
      <w:pPr>
        <w:spacing w:after="120"/>
      </w:pPr>
      <w:r>
        <w:rPr>
          <w:b w:val="0"/>
          <w:i w:val="0"/>
          <w:sz w:val="20"/>
        </w:rPr>
        <w:t>Integrations confirmed from rendered DOM, inline scripts, and the Adobe DTM library. Actual IDs captured where visible. Enterprise systems on separate subdomains are noted as out-of-scope links.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211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130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247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Complexity</w:t>
            </w:r>
          </w:p>
        </w:tc>
        <w:tc>
          <w:tcPr>
            <w:tcW w:type="dxa" w:w="3175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Evidence (ID / domain)</w:t>
            </w:r>
          </w:p>
        </w:tc>
        <w:tc>
          <w:tcPr>
            <w:tcW w:type="dxa" w:w="181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Adobe DTM / Launch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Tag manager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assets.adobedtm.com/…satelliteLib…; injected by EDS delayed.js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All pages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Adobe Audience Manager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Analytics / DMP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demdex; org 864008A3573B47607F000101@AdobeOrg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Google Tag Manager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Tag manager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GTM-KDSCL5, GTM-NCPWGGZR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Google Ads / Floodlight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AW-11286271048, AW-937284738, AW-18181713940; dc-432…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Microsoft Clarity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Analytics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clarity.ms / scripts.clarity.ms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Homepage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Meta / Facebook Pixel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fbevents.js; 5 pixel IDs incl. custom CoursePageView event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TikTok Pixel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analytics.tiktok.com; 4 pixel IDs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Snapchat Pixel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snaptr init dfe8aba0-…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LinkedIn Insight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snap.licdn.com; partner_id 9227514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Everest / Conversant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everestjs.net last-event-tag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Spotify Pixel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Ad pixel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pixel.byspotify.com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Homepage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OneTrust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Consent (CMP)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Complex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cdn-au.onetrust.com/consent/6cfd50d2-…/otSDKStub.js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Algolia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Search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Complex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app NY25AYQTZ8; indices wsu_prod_courses/articles/content_library/main_pages; custom web components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Homepage, /future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Genesys PureCloud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Live chat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Complex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apps.mypurecloud.com.au/genesys-bootstrap (region au)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Qualtrics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Survey / intercept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Complex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…qualtrics.com/WRSiteInterceptEngine; ZN_* zone IDs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via DTM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AEM Adaptive Forms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Forms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Complex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core/fd/af-clientlibs runtime; wizard + accordion; dompurify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Classic AEM pages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YouTube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Media embed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youtube.com/embed/…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Homepage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AEM EDS RUM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Telemetry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Native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rum.hlx.page; sampleRUM in scripts.js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All pages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jQuery 3.6.0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Library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 (retire)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ajax.googleapis.com/…jquery-3.6.0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Homepage, /future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Slick Carousel 1.8.1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Library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Simple (rebuild)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cdnjs…/slick-carousel/1.8.1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Homepage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Cloud.typography (Hoefler)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Web fonts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Simple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cloud.typography.com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/future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Okta (SSO)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Auth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Complex (out of scope)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login.westernsydney.edu.au (Okta OIDC/MFA)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login subdomain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Handbook system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Course/handbook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Complex (out of scope)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handbook. / hbook. / studenthandbook.westernsydney.edu.au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Linked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Applications portal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Application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Complex (out of scope)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apply.westernsydney.edu.au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Linked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Library (Springshare LibCal)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Library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Complex (out of scope)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library.westernsydney.edu.au → api3-au.libcal.com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library subdomain</w:t>
            </w:r>
          </w:p>
        </w:tc>
      </w:tr>
      <w:tr>
        <w:tc>
          <w:tcPr>
            <w:tcW w:type="dxa" w:w="2211"/>
            <w:shd w:fill="F5E9EE" w:val="clear"/>
          </w:tcPr>
          <w:p>
            <w:r/>
            <w:r>
              <w:rPr>
                <w:sz w:val="16"/>
              </w:rPr>
              <w:t>ServiceNow</w:t>
            </w:r>
          </w:p>
        </w:tc>
        <w:tc>
          <w:tcPr>
            <w:tcW w:type="dxa" w:w="1304"/>
            <w:shd w:fill="F5E9EE" w:val="clear"/>
          </w:tcPr>
          <w:p>
            <w:r/>
            <w:r>
              <w:rPr>
                <w:sz w:val="16"/>
              </w:rPr>
              <w:t>ITSM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Medium (out of scope)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wsu.service-now.com/it</w:t>
            </w:r>
          </w:p>
        </w:tc>
        <w:tc>
          <w:tcPr>
            <w:tcW w:type="dxa" w:w="1814"/>
            <w:shd w:fill="F5E9EE" w:val="clear"/>
          </w:tcPr>
          <w:p>
            <w:r/>
            <w:r>
              <w:rPr>
                <w:sz w:val="16"/>
              </w:rPr>
              <w:t>Footer</w:t>
            </w:r>
          </w:p>
        </w:tc>
      </w:tr>
      <w:tr>
        <w:tc>
          <w:tcPr>
            <w:tcW w:type="dxa" w:w="2211"/>
          </w:tcPr>
          <w:p>
            <w:r/>
            <w:r>
              <w:rPr>
                <w:sz w:val="16"/>
              </w:rPr>
              <w:t>GoGlobal / Careers / Online portals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Portals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Medium (out of scope)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goglobal. / careers. / online.westernsydney.edu.au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Linked</w:t>
            </w:r>
          </w:p>
        </w:tc>
      </w:tr>
    </w:tbl>
    <w:p>
      <w:pPr>
        <w:pStyle w:val="Heading2"/>
      </w:pPr>
      <w:r>
        <w:rPr>
          <w:color w:val="A00030"/>
        </w:rPr>
        <w:t>5.1 Migration Notes</w:t>
      </w:r>
    </w:p>
    <w:p>
      <w:pPr>
        <w:spacing w:after="120"/>
      </w:pPr>
      <w:r>
        <w:rPr>
          <w:b w:val="0"/>
          <w:i w:val="0"/>
          <w:sz w:val="20"/>
        </w:rPr>
        <w:t>Trivial to carry across (already proven on EDS): the entire tag/pixel layer — WSU's EDS delayed.js already injects the same Adobe DTM library, so GTM, Audience Manager and all ad pixels transfer for free. YouTube → standard embed block. jQuery, Slick and cloud.typography should be retired/rebuilt natively.</w:t>
      </w:r>
    </w:p>
    <w:p>
      <w:pPr>
        <w:spacing w:after="120"/>
      </w:pPr>
      <w:r>
        <w:rPr>
          <w:b w:val="0"/>
          <w:i w:val="0"/>
          <w:sz w:val="20"/>
        </w:rPr>
        <w:t>Needs real re-engineering: Algolia search (rebuild custom web components as an EDS search/autocomplete block against app NY25AYQTZ8, repoint indexing at EDS content); AEM Adaptive Forms (no EDS equivalent — rebuild or iframe-embed); Genesys chat &amp; Qualtrics intercepts (load via delayed.js but re-verify page-targeting against the URL structure); OneTrust (re-validate category blocking). Enterprise subdomains (handbook, apply, library, login/Okta, goglobal) are out of CMS scope — preserve links and SSO hand-offs.</w:t>
      </w:r>
    </w:p>
    <w:p>
      <w:r>
        <w:br w:type="page"/>
      </w:r>
    </w:p>
    <w:p>
      <w:pPr>
        <w:pStyle w:val="Heading1"/>
      </w:pPr>
      <w:r>
        <w:rPr>
          <w:color w:val="A00030"/>
        </w:rPr>
        <w:t>6. Complex Use Cases &amp; Observations</w:t>
      </w:r>
    </w:p>
    <w:p>
      <w:pPr>
        <w:spacing w:after="120"/>
      </w:pPr>
      <w:r>
        <w:rPr>
          <w:b w:val="0"/>
          <w:i w:val="0"/>
          <w:sz w:val="20"/>
        </w:rPr>
        <w:t>Behaviours and edge cases needing special attention during migration, quantified. [C] = confirmed against live pages/sitemap; [E] = estimated.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928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247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Instances</w:t>
            </w:r>
          </w:p>
        </w:tc>
        <w:tc>
          <w:tcPr>
            <w:tcW w:type="dxa" w:w="2494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Where Found</w:t>
            </w:r>
          </w:p>
        </w:tc>
        <w:tc>
          <w:tcPr>
            <w:tcW w:type="dxa" w:w="3175"/>
            <w:shd w:fill="A0003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Why It's Complex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Dual-stack site (AEM + EDS in parallel)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Whole estate [C]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Homepage/marketing = AEM (cms_type=AEM); ~9,900 interior pages = EDS (cms_type=EDS)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Two rendering stacks, two component vocabularies, and a live cut-over boundary. Cross-stack nav/consistency and redirect management are the central risk.</w:t>
            </w:r>
          </w:p>
        </w:tc>
      </w:tr>
      <w:tr>
        <w:tc>
          <w:tcPr>
            <w:tcW w:type="dxa" w:w="1928"/>
            <w:shd w:fill="F5E9EE" w:val="clear"/>
          </w:tcPr>
          <w:p>
            <w:r/>
            <w:r>
              <w:rPr>
                <w:sz w:val="16"/>
              </w:rPr>
              <w:t>Bespoke news-events composite component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1 (homepage) [C]</w:t>
            </w:r>
          </w:p>
        </w:tc>
        <w:tc>
          <w:tcPr>
            <w:tcW w:type="dxa" w:w="2494"/>
            <w:shd w:fill="F5E9EE" w:val="clear"/>
          </w:tcPr>
          <w:p>
            <w:r/>
            <w:r>
              <w:rPr>
                <w:sz w:val="16"/>
              </w:rPr>
              <w:t>cmp-news-events (news + events + calendar + gallery)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Single custom AEM component fuses four content types + a calendar. No 1:1 EDS block; must be rebuilt from news-list + table + gallery.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Dynamic news-list (index-driven feeds)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News-centre + microsites [C]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/news-centre and year listings; config rows for query/limit/pagination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Query/pagination logic bound to content indexes; feeds must be reproduced and re-pointed to EDS-published content, and kept in sync.</w:t>
            </w:r>
          </w:p>
        </w:tc>
      </w:tr>
      <w:tr>
        <w:tc>
          <w:tcPr>
            <w:tcW w:type="dxa" w:w="1928"/>
            <w:shd w:fill="F5E9EE" w:val="clear"/>
          </w:tcPr>
          <w:p>
            <w:r/>
            <w:r>
              <w:rPr>
                <w:sz w:val="16"/>
              </w:rPr>
              <w:t>Algolia federated search (5 indices)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Site-wide search + course search [C]</w:t>
            </w:r>
          </w:p>
        </w:tc>
        <w:tc>
          <w:tcPr>
            <w:tcW w:type="dxa" w:w="2494"/>
            <w:shd w:fill="F5E9EE" w:val="clear"/>
          </w:tcPr>
          <w:p>
            <w:r/>
            <w:r>
              <w:rPr>
                <w:sz w:val="16"/>
              </w:rPr>
              <w:t>app NY25AYQTZ8; wsu_prod_courses/articles/content_library/main_pages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Custom web components and a course index power study discovery. Rebuilding as an EDS block plus re-indexing EDS content is the largest single integration lift.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AEM Adaptive Forms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~10-30 forms [E]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fd/af runtime; wizard + accordion; homepage enquiry forms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Multi-step conditional forms with validation/submit actions; no native EDS equivalent — each needs rebuild or embed, with backend endpoints re-tested.</w:t>
            </w:r>
          </w:p>
        </w:tc>
      </w:tr>
      <w:tr>
        <w:tc>
          <w:tcPr>
            <w:tcW w:type="dxa" w:w="1928"/>
            <w:shd w:fill="F5E9EE" w:val="clear"/>
          </w:tcPr>
          <w:p>
            <w:r/>
            <w:r>
              <w:rPr>
                <w:sz w:val="16"/>
              </w:rPr>
              <w:t>Per-microsite navigation fragments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40+ [C]</w:t>
            </w:r>
          </w:p>
        </w:tc>
        <w:tc>
          <w:tcPr>
            <w:tcW w:type="dxa" w:w="2494"/>
            <w:shd w:fill="F5E9EE" w:val="clear"/>
          </w:tcPr>
          <w:p>
            <w:r/>
            <w:r>
              <w:rPr>
                <w:sz w:val="16"/>
              </w:rPr>
              <w:t>/{microsite}/nav pages + section-metadata (search link, sign-in, red CTA)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Each of 40+ centres/schools has its own authored mega-menu fragment; migration must preserve per-site IA, not a single global nav.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Research-institute microsite sprawl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40+ microsites, ~5,000+ pages [C]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/ics, /marcs, /thri, /nicmhri, /hie, /babylab, … each with about-us/people/research/projects/publications/events/news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Large volume of near-identical sub-structures with local variation; template detection and QA at scale dominate effort.</w:t>
            </w:r>
          </w:p>
        </w:tc>
      </w:tr>
      <w:tr>
        <w:tc>
          <w:tcPr>
            <w:tcW w:type="dxa" w:w="1928"/>
            <w:shd w:fill="F5E9EE" w:val="clear"/>
          </w:tcPr>
          <w:p>
            <w:r/>
            <w:r>
              <w:rPr>
                <w:sz w:val="16"/>
              </w:rPr>
              <w:t>Large ad-pixel / recruitment martech farm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15+ trackers [C]</w:t>
            </w:r>
          </w:p>
        </w:tc>
        <w:tc>
          <w:tcPr>
            <w:tcW w:type="dxa" w:w="2494"/>
            <w:shd w:fill="F5E9EE" w:val="clear"/>
          </w:tcPr>
          <w:p>
            <w:r/>
            <w:r>
              <w:rPr>
                <w:sz w:val="16"/>
              </w:rPr>
              <w:t>Meta ×5, TikTok ×4, Snapchat, LinkedIn, Google Ads ×3, Floodlight, Spotify; custom CoursePageView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Consent-gated conversion tracking tied to student recruitment; category/zone targeting must be re-validated post cut-over under OneTrust.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Genesys PureCloud live chat + Qualtrics intercepts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Site-wide [C]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apps.mypurecloud.com.au; Qualtrics ZN_* zones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Session/stateful widgets with page-targeting rules held in DTM; behaviour must be re-verified against new URLs.</w:t>
            </w:r>
          </w:p>
        </w:tc>
      </w:tr>
      <w:tr>
        <w:tc>
          <w:tcPr>
            <w:tcW w:type="dxa" w:w="1928"/>
            <w:shd w:fill="F5E9EE" w:val="clear"/>
          </w:tcPr>
          <w:p>
            <w:r/>
            <w:r>
              <w:rPr>
                <w:sz w:val="16"/>
              </w:rPr>
              <w:t>Enterprise systems on separate subdomains</w:t>
            </w:r>
          </w:p>
        </w:tc>
        <w:tc>
          <w:tcPr>
            <w:tcW w:type="dxa" w:w="1247"/>
            <w:shd w:fill="F5E9EE" w:val="clear"/>
          </w:tcPr>
          <w:p>
            <w:r/>
            <w:r>
              <w:rPr>
                <w:sz w:val="16"/>
              </w:rPr>
              <w:t>6+ systems [C]</w:t>
            </w:r>
          </w:p>
        </w:tc>
        <w:tc>
          <w:tcPr>
            <w:tcW w:type="dxa" w:w="2494"/>
            <w:shd w:fill="F5E9EE" w:val="clear"/>
          </w:tcPr>
          <w:p>
            <w:r/>
            <w:r>
              <w:rPr>
                <w:sz w:val="16"/>
              </w:rPr>
              <w:t>handbook, apply, library→LibCal, login→Okta, goglobal, careers, service-now</w:t>
            </w:r>
          </w:p>
        </w:tc>
        <w:tc>
          <w:tcPr>
            <w:tcW w:type="dxa" w:w="3175"/>
            <w:shd w:fill="F5E9EE" w:val="clear"/>
          </w:tcPr>
          <w:p>
            <w:r/>
            <w:r>
              <w:rPr>
                <w:sz w:val="16"/>
              </w:rPr>
              <w:t>Out of CMS scope but deeply linked; broken-link/SSO-handoff risk if inbound links and deep links aren't inventoried and preserved.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Bot protection (HTTP 406 to non-browsers)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Whole site [C]</w:t>
            </w:r>
          </w:p>
        </w:tc>
        <w:tc>
          <w:tcPr>
            <w:tcW w:type="dxa" w:w="2494"/>
          </w:tcPr>
          <w:p>
            <w:r/>
            <w:r>
              <w:rPr>
                <w:sz w:val="16"/>
              </w:rPr>
              <w:t>406 Not Acceptable without browser headers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Automated crawling/import tooling must send browser headers; affects any migration/QA automation and third-party indexing.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A00030"/>
        </w:rPr>
        <w:t>Appendix: Template Screenshots</w:t>
      </w:r>
    </w:p>
    <w:p>
      <w:pPr>
        <w:spacing w:after="120"/>
      </w:pPr>
      <w:r>
        <w:rPr>
          <w:b w:val="0"/>
          <w:i/>
          <w:color w:val="707070"/>
          <w:sz w:val="18"/>
        </w:rPr>
        <w:t>Representative page per template family (captured August 2026, 1440px viewport).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-list_t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5: News listing by year (T07).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t-op_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6: Expert opinion article (T08).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-about_to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7: Microsite content / about page (T04).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to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8: School landing (T03) — hero, cards, button-list.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-list_to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9: Events archive listing (T09).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ople_to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10: People / team listing (T10).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to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11: Research/projects listing (T03/T04).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24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deep_to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6"/>
        </w:rPr>
        <w:t>Figure 12: Deep content page — inherent requirements (T04).</w:t>
      </w:r>
    </w:p>
    <w:p/>
    <w:p>
      <w:r>
        <w:rPr>
          <w:i/>
          <w:color w:val="707070"/>
          <w:sz w:val="16"/>
        </w:rPr>
        <w:t>Prepared from live inspection of representative pages across both platforms (August 2026). Page counts sourced from the site sitemap. This assessment is a planning document; a fixed migration plan requires a template/block workshop and confirmation of the AEM-vs-EDS cut-over roadmap with WSU.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