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5E"/>
          <w:sz w:val="60"/>
        </w:rPr>
        <w:t>Piramal Finance</w:t>
      </w:r>
    </w:p>
    <w:p>
      <w:pPr>
        <w:jc w:val="center"/>
      </w:pPr>
      <w:r>
        <w:rPr>
          <w:color w:val="E85A28"/>
          <w:sz w:val="30"/>
        </w:rPr>
        <w:t>Website Migration Analysis &amp; Technical Assessment</w:t>
      </w:r>
    </w:p>
    <w:p>
      <w:pPr>
        <w:jc w:val="center"/>
      </w:pPr>
      <w:r>
        <w:rPr>
          <w:color w:val="555555"/>
          <w:sz w:val="22"/>
        </w:rPr>
        <w:t>Templates, Blocks, Page Counts, Integrations &amp; Complex Use Cases</w:t>
      </w:r>
    </w:p>
    <w:p/>
    <w:p>
      <w:pPr>
        <w:jc w:val="center"/>
      </w:pPr>
      <w:r>
        <w:rPr>
          <w:sz w:val="21"/>
        </w:rPr>
        <w:t>Target URL: https://www.piramalfinance.com/</w:t>
        <w:br/>
        <w:t>Analysis Date: 23 June 2026</w:t>
        <w:br/>
        <w:t>Destination Platform: Adobe Experience Manager — Edge Delivery Services (EDS)</w:t>
      </w:r>
    </w:p>
    <w:p/>
    <w:p>
      <w:pPr>
        <w:pBdr>
          <w:bottom w:val="single" w:sz="6" w:space="1" w:color="E85A28"/>
        </w:pBdr>
      </w:pPr>
      <w:r>
        <w:rPr>
          <w:b/>
          <w:color w:val="123A5E"/>
          <w:sz w:val="32"/>
        </w:rPr>
        <w:t>Executive Summary</w:t>
      </w:r>
    </w:p>
    <w:p>
      <w:r>
        <w:rPr>
          <w:i w:val="0"/>
          <w:sz w:val="21"/>
        </w:rPr>
        <w:t>This document presents a structured migration analysis of the Piramal Finance website. The analysis is derived from the site's XML sitemaps (1,563 URLs on the main site and 3,160 on the blog), live page inspection, HTTP response headers, the published EDS block markup, and rendered screenshots.</w:t>
      </w:r>
    </w:p>
    <w:p>
      <w:r>
        <w:rPr>
          <w:i w:val="0"/>
          <w:sz w:val="21"/>
        </w:rPr>
        <w:t>Key finding — the property runs on TWO platforms behind a single domain:</w:t>
      </w:r>
    </w:p>
    <w:p>
      <w:pPr>
        <w:pStyle w:val="ListBullet"/>
      </w:pPr>
      <w:r>
        <w:rPr>
          <w:sz w:val="21"/>
        </w:rPr>
        <w:t>Main marketing &amp; product site (/, product, calculators, locations, corporate) is already on Adobe Edge Delivery Services (EDS), authored in AEM as a Cloud Service via the Universal Editor.</w:t>
      </w:r>
    </w:p>
    <w:p>
      <w:pPr>
        <w:pStyle w:val="ListBullet"/>
      </w:pPr>
      <w:r>
        <w:rPr>
          <w:sz w:val="21"/>
        </w:rPr>
        <w:t>The /vidya/ knowledge hub (~3,160 URLs) is a separate legacy WordPress site (jQuery + Bootstrap, wp-content assets). This is the primary content-migration target.</w:t>
      </w:r>
    </w:p>
    <w:p>
      <w:r>
        <w:rPr>
          <w:i w:val="0"/>
          <w:sz w:val="21"/>
        </w:rPr>
        <w:t>The single biggest volume driver is the programmatic Branch-Locator location hierarchy (1,189 URLs, ~76% of the main site), which is highly templated and well-suited to automated migration. Conversely, the WordPress blog and interactive tools (calculators, application forms, branch map) require manual or assisted migration.</w:t>
      </w:r>
    </w:p>
    <w:p>
      <w:r>
        <w:rPr>
          <w:b/>
          <w:color w:val="E85A28"/>
          <w:sz w:val="25"/>
        </w:rPr>
        <w:t>At-a-Glance Metrics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123A5E"/>
          </w:tcPr>
          <w:p>
            <w:r/>
            <w:r>
              <w:rPr>
                <w:b/>
                <w:color w:val="FFFFFF"/>
                <w:sz w:val="20"/>
              </w:rPr>
              <w:t>Metric</w:t>
            </w:r>
          </w:p>
        </w:tc>
        <w:tc>
          <w:tcPr>
            <w:tcW w:type="dxa" w:w="4896"/>
            <w:shd w:val="clear" w:color="auto" w:fill="123A5E"/>
          </w:tcPr>
          <w:p>
            <w:r/>
            <w:r>
              <w:rPr>
                <w:b/>
                <w:color w:val="FFFFFF"/>
                <w:sz w:val="20"/>
              </w:rPr>
              <w:t>Value</w:t>
            </w:r>
          </w:p>
        </w:tc>
      </w:tr>
      <w:tr>
        <w:tc>
          <w:tcPr>
            <w:tcW w:type="dxa" w:w="4320"/>
          </w:tcPr>
          <w:p>
            <w:r/>
            <w:r>
              <w:rPr>
                <w:sz w:val="20"/>
              </w:rPr>
              <w:t>Main site URLs (sitemap)</w:t>
            </w:r>
          </w:p>
        </w:tc>
        <w:tc>
          <w:tcPr>
            <w:tcW w:type="dxa" w:w="4896"/>
          </w:tcPr>
          <w:p>
            <w:r/>
            <w:r>
              <w:rPr>
                <w:sz w:val="20"/>
              </w:rPr>
              <w:t>1,563</w:t>
            </w:r>
          </w:p>
        </w:tc>
      </w:tr>
      <w:tr>
        <w:tc>
          <w:tcPr>
            <w:tcW w:type="dxa" w:w="4320"/>
          </w:tcPr>
          <w:p>
            <w:r/>
            <w:r>
              <w:rPr>
                <w:sz w:val="20"/>
              </w:rPr>
              <w:t>Blog / Vidya URLs (WordPress)</w:t>
            </w:r>
          </w:p>
        </w:tc>
        <w:tc>
          <w:tcPr>
            <w:tcW w:type="dxa" w:w="4896"/>
          </w:tcPr>
          <w:p>
            <w:r/>
            <w:r>
              <w:rPr>
                <w:sz w:val="20"/>
              </w:rPr>
              <w:t>3,160</w:t>
            </w:r>
          </w:p>
        </w:tc>
      </w:tr>
      <w:tr>
        <w:tc>
          <w:tcPr>
            <w:tcW w:type="dxa" w:w="4320"/>
          </w:tcPr>
          <w:p>
            <w:r/>
            <w:r>
              <w:rPr>
                <w:sz w:val="20"/>
              </w:rPr>
              <w:t>Total addressable URLs</w:t>
            </w:r>
          </w:p>
        </w:tc>
        <w:tc>
          <w:tcPr>
            <w:tcW w:type="dxa" w:w="4896"/>
          </w:tcPr>
          <w:p>
            <w:r/>
            <w:r>
              <w:rPr>
                <w:sz w:val="20"/>
              </w:rPr>
              <w:t>~4,723</w:t>
            </w:r>
          </w:p>
        </w:tc>
      </w:tr>
      <w:tr>
        <w:tc>
          <w:tcPr>
            <w:tcW w:type="dxa" w:w="4320"/>
          </w:tcPr>
          <w:p>
            <w:r/>
            <w:r>
              <w:rPr>
                <w:sz w:val="20"/>
              </w:rPr>
              <w:t>Unique page templates (main site)</w:t>
            </w:r>
          </w:p>
        </w:tc>
        <w:tc>
          <w:tcPr>
            <w:tcW w:type="dxa" w:w="4896"/>
          </w:tcPr>
          <w:p>
            <w:r/>
            <w:r>
              <w:rPr>
                <w:sz w:val="20"/>
              </w:rPr>
              <w:t>9</w:t>
            </w:r>
          </w:p>
        </w:tc>
      </w:tr>
      <w:tr>
        <w:tc>
          <w:tcPr>
            <w:tcW w:type="dxa" w:w="4320"/>
          </w:tcPr>
          <w:p>
            <w:r/>
            <w:r>
              <w:rPr>
                <w:sz w:val="20"/>
              </w:rPr>
              <w:t>Reusable blocks / components</w:t>
            </w:r>
          </w:p>
        </w:tc>
        <w:tc>
          <w:tcPr>
            <w:tcW w:type="dxa" w:w="4896"/>
          </w:tcPr>
          <w:p>
            <w:r/>
            <w:r>
              <w:rPr>
                <w:sz w:val="20"/>
              </w:rPr>
              <w:t>20+</w:t>
            </w:r>
          </w:p>
        </w:tc>
      </w:tr>
      <w:tr>
        <w:tc>
          <w:tcPr>
            <w:tcW w:type="dxa" w:w="4320"/>
          </w:tcPr>
          <w:p>
            <w:r/>
            <w:r>
              <w:rPr>
                <w:sz w:val="20"/>
              </w:rPr>
              <w:t>Third-party integrations</w:t>
            </w:r>
          </w:p>
        </w:tc>
        <w:tc>
          <w:tcPr>
            <w:tcW w:type="dxa" w:w="4896"/>
          </w:tcPr>
          <w:p>
            <w:r/>
            <w:r>
              <w:rPr>
                <w:sz w:val="20"/>
              </w:rPr>
              <w:t>12+</w:t>
            </w:r>
          </w:p>
        </w:tc>
      </w:tr>
      <w:tr>
        <w:tc>
          <w:tcPr>
            <w:tcW w:type="dxa" w:w="4320"/>
          </w:tcPr>
          <w:p>
            <w:r/>
            <w:r>
              <w:rPr>
                <w:sz w:val="20"/>
              </w:rPr>
              <w:t>Current main-site platform</w:t>
            </w:r>
          </w:p>
        </w:tc>
        <w:tc>
          <w:tcPr>
            <w:tcW w:type="dxa" w:w="4896"/>
          </w:tcPr>
          <w:p>
            <w:r/>
            <w:r>
              <w:rPr>
                <w:sz w:val="20"/>
              </w:rPr>
              <w:t>Adobe EDS (AEMaaCS + Universal Editor)</w:t>
            </w:r>
          </w:p>
        </w:tc>
      </w:tr>
      <w:tr>
        <w:tc>
          <w:tcPr>
            <w:tcW w:type="dxa" w:w="4320"/>
          </w:tcPr>
          <w:p>
            <w:r/>
            <w:r>
              <w:rPr>
                <w:sz w:val="20"/>
              </w:rPr>
              <w:t>Current blog platform</w:t>
            </w:r>
          </w:p>
        </w:tc>
        <w:tc>
          <w:tcPr>
            <w:tcW w:type="dxa" w:w="4896"/>
          </w:tcPr>
          <w:p>
            <w:r/>
            <w:r>
              <w:rPr>
                <w:sz w:val="20"/>
              </w:rPr>
              <w:t>WordPress (legacy)</w:t>
            </w:r>
          </w:p>
        </w:tc>
      </w:tr>
      <w:tr>
        <w:tc>
          <w:tcPr>
            <w:tcW w:type="dxa" w:w="4320"/>
          </w:tcPr>
          <w:p>
            <w:r/>
            <w:r>
              <w:rPr>
                <w:sz w:val="20"/>
              </w:rPr>
              <w:t>CDN / Edge</w:t>
            </w:r>
          </w:p>
        </w:tc>
        <w:tc>
          <w:tcPr>
            <w:tcW w:type="dxa" w:w="4896"/>
          </w:tcPr>
          <w:p>
            <w:r/>
            <w:r>
              <w:rPr>
                <w:sz w:val="20"/>
              </w:rPr>
              <w:t>Fastly (India edge), Brotli, TTFB ~0.75s</w:t>
            </w:r>
          </w:p>
        </w:tc>
      </w:tr>
    </w:tbl>
    <w:p/>
    <w:p>
      <w:r>
        <w:br w:type="page"/>
      </w:r>
    </w:p>
    <w:p>
      <w:pPr>
        <w:pBdr>
          <w:bottom w:val="single" w:sz="6" w:space="1" w:color="E85A28"/>
        </w:pBdr>
      </w:pPr>
      <w:r>
        <w:rPr>
          <w:b/>
          <w:color w:val="123A5E"/>
          <w:sz w:val="32"/>
        </w:rPr>
        <w:t>1. Templates Inventory</w:t>
      </w:r>
    </w:p>
    <w:p>
      <w:r>
        <w:rPr>
          <w:i w:val="0"/>
          <w:sz w:val="21"/>
        </w:rPr>
        <w:t>Nine distinct page templates were identified on the main (EDS) site, plus one legacy template family on the WordPress blog. Complexity reflects the variety of blocks, dynamic behaviour, and authoring logic involved per template.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432"/>
            <w:shd w:val="clear" w:color="auto" w:fill="123A5E"/>
          </w:tcPr>
          <w:p>
            <w:r/>
            <w:r>
              <w:rPr>
                <w:b/>
                <w:color w:val="FFFFFF"/>
                <w:sz w:val="17"/>
              </w:rPr>
              <w:t>#</w:t>
            </w:r>
          </w:p>
        </w:tc>
        <w:tc>
          <w:tcPr>
            <w:tcW w:type="dxa" w:w="2160"/>
            <w:shd w:val="clear" w:color="auto" w:fill="123A5E"/>
          </w:tcPr>
          <w:p>
            <w:r/>
            <w:r>
              <w:rPr>
                <w:b/>
                <w:color w:val="FFFFFF"/>
                <w:sz w:val="17"/>
              </w:rPr>
              <w:t>Template</w:t>
            </w:r>
          </w:p>
        </w:tc>
        <w:tc>
          <w:tcPr>
            <w:tcW w:type="dxa" w:w="1296"/>
            <w:shd w:val="clear" w:color="auto" w:fill="123A5E"/>
          </w:tcPr>
          <w:p>
            <w:r/>
            <w:r>
              <w:rPr>
                <w:b/>
                <w:color w:val="FFFFFF"/>
                <w:sz w:val="17"/>
              </w:rPr>
              <w:t>Complexity</w:t>
            </w:r>
          </w:p>
        </w:tc>
        <w:tc>
          <w:tcPr>
            <w:tcW w:type="dxa" w:w="3744"/>
            <w:shd w:val="clear" w:color="auto" w:fill="123A5E"/>
          </w:tcPr>
          <w:p>
            <w:r/>
            <w:r>
              <w:rPr>
                <w:b/>
                <w:color w:val="FFFFFF"/>
                <w:sz w:val="17"/>
              </w:rPr>
              <w:t>Reasoning</w:t>
            </w:r>
          </w:p>
        </w:tc>
        <w:tc>
          <w:tcPr>
            <w:tcW w:type="dxa" w:w="3024"/>
            <w:shd w:val="clear" w:color="auto" w:fill="123A5E"/>
          </w:tcPr>
          <w:p>
            <w:r/>
            <w:r>
              <w:rPr>
                <w:b/>
                <w:color w:val="FFFFFF"/>
                <w:sz w:val="17"/>
              </w:rPr>
              <w:t>Reference URL examples</w:t>
            </w:r>
          </w:p>
        </w:tc>
      </w:tr>
      <w:tr>
        <w:tc>
          <w:tcPr>
            <w:tcW w:type="dxa" w:w="432"/>
          </w:tcPr>
          <w:p>
            <w:r/>
            <w:r>
              <w:rPr>
                <w:sz w:val="17"/>
              </w:rPr>
              <w:t>1</w:t>
            </w:r>
          </w:p>
        </w:tc>
        <w:tc>
          <w:tcPr>
            <w:tcW w:type="dxa" w:w="2160"/>
          </w:tcPr>
          <w:p>
            <w:r/>
            <w:r>
              <w:rPr>
                <w:sz w:val="17"/>
              </w:rPr>
              <w:t>Homepage</w:t>
            </w:r>
          </w:p>
        </w:tc>
        <w:tc>
          <w:tcPr>
            <w:tcW w:type="dxa" w:w="1296"/>
          </w:tcPr>
          <w:p>
            <w:r/>
            <w:r>
              <w:rPr>
                <w:b/>
                <w:color w:val="C0392B"/>
                <w:sz w:val="17"/>
              </w:rPr>
              <w:t>High</w:t>
            </w:r>
          </w:p>
        </w:tc>
        <w:tc>
          <w:tcPr>
            <w:tcW w:type="dxa" w:w="3744"/>
          </w:tcPr>
          <w:p>
            <w:r/>
            <w:r>
              <w:rPr>
                <w:sz w:val="17"/>
              </w:rPr>
              <w:t>Hero carousel, multiple teaser bands, live EMI &amp; eligibility calculators, testimonials, app download — many interactive blocks on one page.</w:t>
            </w:r>
          </w:p>
        </w:tc>
        <w:tc>
          <w:tcPr>
            <w:tcW w:type="dxa" w:w="3024"/>
          </w:tcPr>
          <w:p>
            <w:r/>
            <w:r>
              <w:rPr>
                <w:sz w:val="17"/>
              </w:rPr>
              <w:t>https://www.piramalfinance.com/</w:t>
            </w:r>
          </w:p>
        </w:tc>
      </w:tr>
      <w:tr>
        <w:tc>
          <w:tcPr>
            <w:tcW w:type="dxa" w:w="432"/>
          </w:tcPr>
          <w:p>
            <w:r/>
            <w:r>
              <w:rPr>
                <w:sz w:val="17"/>
              </w:rPr>
              <w:t>2</w:t>
            </w:r>
          </w:p>
        </w:tc>
        <w:tc>
          <w:tcPr>
            <w:tcW w:type="dxa" w:w="2160"/>
          </w:tcPr>
          <w:p>
            <w:r/>
            <w:r>
              <w:rPr>
                <w:sz w:val="17"/>
              </w:rPr>
              <w:t>Loan Product Page</w:t>
            </w:r>
          </w:p>
        </w:tc>
        <w:tc>
          <w:tcPr>
            <w:tcW w:type="dxa" w:w="1296"/>
          </w:tcPr>
          <w:p>
            <w:r/>
            <w:r>
              <w:rPr>
                <w:b/>
                <w:color w:val="C0392B"/>
                <w:sz w:val="17"/>
              </w:rPr>
              <w:t>High</w:t>
            </w:r>
          </w:p>
        </w:tc>
        <w:tc>
          <w:tcPr>
            <w:tcW w:type="dxa" w:w="3744"/>
          </w:tcPr>
          <w:p>
            <w:r/>
            <w:r>
              <w:rPr>
                <w:sz w:val="17"/>
              </w:rPr>
              <w:t>Rich content model: hero, key-features, calculators, FAQ schema, apply-form, accordions, comparison tables; multiple SEO/structured-data blocks.</w:t>
            </w:r>
          </w:p>
        </w:tc>
        <w:tc>
          <w:tcPr>
            <w:tcW w:type="dxa" w:w="3024"/>
          </w:tcPr>
          <w:p>
            <w:r/>
            <w:r>
              <w:rPr>
                <w:sz w:val="17"/>
              </w:rPr>
              <w:t>https://www.piramalfinance.com/personal-loan</w:t>
              <w:br/>
              <w:t>https://www.piramalfinance.com/home-loan</w:t>
              <w:br/>
              <w:t>https://www.piramalfinance.com/business-loan</w:t>
            </w:r>
          </w:p>
        </w:tc>
      </w:tr>
      <w:tr>
        <w:tc>
          <w:tcPr>
            <w:tcW w:type="dxa" w:w="432"/>
          </w:tcPr>
          <w:p>
            <w:r/>
            <w:r>
              <w:rPr>
                <w:sz w:val="17"/>
              </w:rPr>
              <w:t>3</w:t>
            </w:r>
          </w:p>
        </w:tc>
        <w:tc>
          <w:tcPr>
            <w:tcW w:type="dxa" w:w="2160"/>
          </w:tcPr>
          <w:p>
            <w:r/>
            <w:r>
              <w:rPr>
                <w:sz w:val="17"/>
              </w:rPr>
              <w:t>Calculator Page</w:t>
            </w:r>
          </w:p>
        </w:tc>
        <w:tc>
          <w:tcPr>
            <w:tcW w:type="dxa" w:w="1296"/>
          </w:tcPr>
          <w:p>
            <w:r/>
            <w:r>
              <w:rPr>
                <w:b/>
                <w:color w:val="C0392B"/>
                <w:sz w:val="17"/>
              </w:rPr>
              <w:t>High</w:t>
            </w:r>
          </w:p>
        </w:tc>
        <w:tc>
          <w:tcPr>
            <w:tcW w:type="dxa" w:w="3744"/>
          </w:tcPr>
          <w:p>
            <w:r/>
            <w:r>
              <w:rPr>
                <w:sz w:val="17"/>
              </w:rPr>
              <w:t>Client-side interactive financial calculator driven by JSON config + datepicker libs; dynamic computation and charts.</w:t>
            </w:r>
          </w:p>
        </w:tc>
        <w:tc>
          <w:tcPr>
            <w:tcW w:type="dxa" w:w="3024"/>
          </w:tcPr>
          <w:p>
            <w:r/>
            <w:r>
              <w:rPr>
                <w:sz w:val="17"/>
              </w:rPr>
              <w:t>https://www.piramalfinance.com/calculators/personal-loan-emi-calculator</w:t>
              <w:br/>
              <w:t>https://www.piramalfinance.com/calculators</w:t>
            </w:r>
          </w:p>
        </w:tc>
      </w:tr>
      <w:tr>
        <w:tc>
          <w:tcPr>
            <w:tcW w:type="dxa" w:w="432"/>
          </w:tcPr>
          <w:p>
            <w:r/>
            <w:r>
              <w:rPr>
                <w:sz w:val="17"/>
              </w:rPr>
              <w:t>4</w:t>
            </w:r>
          </w:p>
        </w:tc>
        <w:tc>
          <w:tcPr>
            <w:tcW w:type="dxa" w:w="2160"/>
          </w:tcPr>
          <w:p>
            <w:r/>
            <w:r>
              <w:rPr>
                <w:sz w:val="17"/>
              </w:rPr>
              <w:t>Branch-Locator (State)</w:t>
            </w:r>
          </w:p>
        </w:tc>
        <w:tc>
          <w:tcPr>
            <w:tcW w:type="dxa" w:w="1296"/>
          </w:tcPr>
          <w:p>
            <w:r/>
            <w:r>
              <w:rPr>
                <w:b/>
                <w:color w:val="B9770E"/>
                <w:sz w:val="17"/>
              </w:rPr>
              <w:t>Medium</w:t>
            </w:r>
          </w:p>
        </w:tc>
        <w:tc>
          <w:tcPr>
            <w:tcW w:type="dxa" w:w="3744"/>
          </w:tcPr>
          <w:p>
            <w:r/>
            <w:r>
              <w:rPr>
                <w:sz w:val="17"/>
              </w:rPr>
              <w:t>Programmatic location landing keyed off branch-locator.json; cascading dropdowns + Google Maps; standardized layout.</w:t>
            </w:r>
          </w:p>
        </w:tc>
        <w:tc>
          <w:tcPr>
            <w:tcW w:type="dxa" w:w="3024"/>
          </w:tcPr>
          <w:p>
            <w:r/>
            <w:r>
              <w:rPr>
                <w:sz w:val="17"/>
              </w:rPr>
              <w:t>https://www.piramalfinance.com/branch-locator</w:t>
              <w:br/>
              <w:t>https://www.piramalfinance.com/branch-locator/andhra-pradesh</w:t>
            </w:r>
          </w:p>
        </w:tc>
      </w:tr>
      <w:tr>
        <w:tc>
          <w:tcPr>
            <w:tcW w:type="dxa" w:w="432"/>
          </w:tcPr>
          <w:p>
            <w:r/>
            <w:r>
              <w:rPr>
                <w:sz w:val="17"/>
              </w:rPr>
              <w:t>5</w:t>
            </w:r>
          </w:p>
        </w:tc>
        <w:tc>
          <w:tcPr>
            <w:tcW w:type="dxa" w:w="2160"/>
          </w:tcPr>
          <w:p>
            <w:r/>
            <w:r>
              <w:rPr>
                <w:sz w:val="17"/>
              </w:rPr>
              <w:t>Branch-Locator (City / Branch Detail)</w:t>
            </w:r>
          </w:p>
        </w:tc>
        <w:tc>
          <w:tcPr>
            <w:tcW w:type="dxa" w:w="1296"/>
          </w:tcPr>
          <w:p>
            <w:r/>
            <w:r>
              <w:rPr>
                <w:b/>
                <w:color w:val="1E8249"/>
                <w:sz w:val="17"/>
              </w:rPr>
              <w:t>Low</w:t>
            </w:r>
          </w:p>
        </w:tc>
        <w:tc>
          <w:tcPr>
            <w:tcW w:type="dxa" w:w="3744"/>
          </w:tcPr>
          <w:p>
            <w:r/>
            <w:r>
              <w:rPr>
                <w:sz w:val="17"/>
              </w:rPr>
              <w:t>Highly repetitive SEO location pages (loans-in-city, city/branch) generated from a data source; near-identical structure.</w:t>
            </w:r>
          </w:p>
        </w:tc>
        <w:tc>
          <w:tcPr>
            <w:tcW w:type="dxa" w:w="3024"/>
          </w:tcPr>
          <w:p>
            <w:r/>
            <w:r>
              <w:rPr>
                <w:sz w:val="17"/>
              </w:rPr>
              <w:t>https://www.piramalfinance.com/branch-locator/loans-in-adoni-andhra-pradesh-6002</w:t>
              <w:br/>
              <w:t>https://www.piramalfinance.com/branch-locator/andhra-pradesh/adoni</w:t>
            </w:r>
          </w:p>
        </w:tc>
      </w:tr>
      <w:tr>
        <w:tc>
          <w:tcPr>
            <w:tcW w:type="dxa" w:w="432"/>
          </w:tcPr>
          <w:p>
            <w:r/>
            <w:r>
              <w:rPr>
                <w:sz w:val="17"/>
              </w:rPr>
              <w:t>6</w:t>
            </w:r>
          </w:p>
        </w:tc>
        <w:tc>
          <w:tcPr>
            <w:tcW w:type="dxa" w:w="2160"/>
          </w:tcPr>
          <w:p>
            <w:r/>
            <w:r>
              <w:rPr>
                <w:sz w:val="17"/>
              </w:rPr>
              <w:t>Corporate / Investor / Stakeholder</w:t>
            </w:r>
          </w:p>
        </w:tc>
        <w:tc>
          <w:tcPr>
            <w:tcW w:type="dxa" w:w="1296"/>
          </w:tcPr>
          <w:p>
            <w:r/>
            <w:r>
              <w:rPr>
                <w:b/>
                <w:color w:val="B9770E"/>
                <w:sz w:val="17"/>
              </w:rPr>
              <w:t>Medium</w:t>
            </w:r>
          </w:p>
        </w:tc>
        <w:tc>
          <w:tcPr>
            <w:tcW w:type="dxa" w:w="3744"/>
          </w:tcPr>
          <w:p>
            <w:r/>
            <w:r>
              <w:rPr>
                <w:sz w:val="17"/>
              </w:rPr>
              <w:t>Document-heavy: tables, tabbed sections, accordions, PDF disclosures, board-of-director bio sub-pages.</w:t>
            </w:r>
          </w:p>
        </w:tc>
        <w:tc>
          <w:tcPr>
            <w:tcW w:type="dxa" w:w="3024"/>
          </w:tcPr>
          <w:p>
            <w:r/>
            <w:r>
              <w:rPr>
                <w:sz w:val="17"/>
              </w:rPr>
              <w:t>https://www.piramalfinance.com/investor-relations</w:t>
              <w:br/>
              <w:t>https://www.piramalfinance.com/stakeholders/interest-rates</w:t>
              <w:br/>
              <w:t>https://www.piramalfinance.com/about-us/board-of-director/sunit-madan</w:t>
            </w:r>
          </w:p>
        </w:tc>
      </w:tr>
      <w:tr>
        <w:tc>
          <w:tcPr>
            <w:tcW w:type="dxa" w:w="432"/>
          </w:tcPr>
          <w:p>
            <w:r/>
            <w:r>
              <w:rPr>
                <w:sz w:val="17"/>
              </w:rPr>
              <w:t>7</w:t>
            </w:r>
          </w:p>
        </w:tc>
        <w:tc>
          <w:tcPr>
            <w:tcW w:type="dxa" w:w="2160"/>
          </w:tcPr>
          <w:p>
            <w:r/>
            <w:r>
              <w:rPr>
                <w:sz w:val="17"/>
              </w:rPr>
              <w:t>Contact / Support Page</w:t>
            </w:r>
          </w:p>
        </w:tc>
        <w:tc>
          <w:tcPr>
            <w:tcW w:type="dxa" w:w="1296"/>
          </w:tcPr>
          <w:p>
            <w:r/>
            <w:r>
              <w:rPr>
                <w:b/>
                <w:color w:val="B9770E"/>
                <w:sz w:val="17"/>
              </w:rPr>
              <w:t>Medium</w:t>
            </w:r>
          </w:p>
        </w:tc>
        <w:tc>
          <w:tcPr>
            <w:tcW w:type="dxa" w:w="3744"/>
          </w:tcPr>
          <w:p>
            <w:r/>
            <w:r>
              <w:rPr>
                <w:sz w:val="17"/>
              </w:rPr>
              <w:t>Icon-card grids, WhatsApp QR, embedded maps, multiple CTA blocks and channel links.</w:t>
            </w:r>
          </w:p>
        </w:tc>
        <w:tc>
          <w:tcPr>
            <w:tcW w:type="dxa" w:w="3024"/>
          </w:tcPr>
          <w:p>
            <w:r/>
            <w:r>
              <w:rPr>
                <w:sz w:val="17"/>
              </w:rPr>
              <w:t>https://www.piramalfinance.com/contact-us</w:t>
            </w:r>
          </w:p>
        </w:tc>
      </w:tr>
      <w:tr>
        <w:tc>
          <w:tcPr>
            <w:tcW w:type="dxa" w:w="432"/>
          </w:tcPr>
          <w:p>
            <w:r/>
            <w:r>
              <w:rPr>
                <w:sz w:val="17"/>
              </w:rPr>
              <w:t>8</w:t>
            </w:r>
          </w:p>
        </w:tc>
        <w:tc>
          <w:tcPr>
            <w:tcW w:type="dxa" w:w="2160"/>
          </w:tcPr>
          <w:p>
            <w:r/>
            <w:r>
              <w:rPr>
                <w:sz w:val="17"/>
              </w:rPr>
              <w:t>FAQ Page</w:t>
            </w:r>
          </w:p>
        </w:tc>
        <w:tc>
          <w:tcPr>
            <w:tcW w:type="dxa" w:w="1296"/>
          </w:tcPr>
          <w:p>
            <w:r/>
            <w:r>
              <w:rPr>
                <w:b/>
                <w:color w:val="1E8249"/>
                <w:sz w:val="17"/>
              </w:rPr>
              <w:t>Low</w:t>
            </w:r>
          </w:p>
        </w:tc>
        <w:tc>
          <w:tcPr>
            <w:tcW w:type="dxa" w:w="3744"/>
          </w:tcPr>
          <w:p>
            <w:r/>
            <w:r>
              <w:rPr>
                <w:sz w:val="17"/>
              </w:rPr>
              <w:t>Accordion-driven Q&amp;A with FAQ schema; single primary block.</w:t>
            </w:r>
          </w:p>
        </w:tc>
        <w:tc>
          <w:tcPr>
            <w:tcW w:type="dxa" w:w="3024"/>
          </w:tcPr>
          <w:p>
            <w:r/>
            <w:r>
              <w:rPr>
                <w:sz w:val="17"/>
              </w:rPr>
              <w:t>https://www.piramalfinance.com/faq</w:t>
            </w:r>
          </w:p>
        </w:tc>
      </w:tr>
      <w:tr>
        <w:tc>
          <w:tcPr>
            <w:tcW w:type="dxa" w:w="432"/>
          </w:tcPr>
          <w:p>
            <w:r/>
            <w:r>
              <w:rPr>
                <w:sz w:val="17"/>
              </w:rPr>
              <w:t>9</w:t>
            </w:r>
          </w:p>
        </w:tc>
        <w:tc>
          <w:tcPr>
            <w:tcW w:type="dxa" w:w="2160"/>
          </w:tcPr>
          <w:p>
            <w:r/>
            <w:r>
              <w:rPr>
                <w:sz w:val="17"/>
              </w:rPr>
              <w:t>Legal / Policy (Static Content)</w:t>
            </w:r>
          </w:p>
        </w:tc>
        <w:tc>
          <w:tcPr>
            <w:tcW w:type="dxa" w:w="1296"/>
          </w:tcPr>
          <w:p>
            <w:r/>
            <w:r>
              <w:rPr>
                <w:b/>
                <w:color w:val="1E8249"/>
                <w:sz w:val="17"/>
              </w:rPr>
              <w:t>Low</w:t>
            </w:r>
          </w:p>
        </w:tc>
        <w:tc>
          <w:tcPr>
            <w:tcW w:type="dxa" w:w="3744"/>
          </w:tcPr>
          <w:p>
            <w:r/>
            <w:r>
              <w:rPr>
                <w:sz w:val="17"/>
              </w:rPr>
              <w:t>Long-form rich text, minimal blocks; mostly default content.</w:t>
            </w:r>
          </w:p>
        </w:tc>
        <w:tc>
          <w:tcPr>
            <w:tcW w:type="dxa" w:w="3024"/>
          </w:tcPr>
          <w:p>
            <w:r/>
            <w:r>
              <w:rPr>
                <w:sz w:val="17"/>
              </w:rPr>
              <w:t>https://www.piramalfinance.com/privacy-policy</w:t>
              <w:br/>
              <w:t>https://www.piramalfinance.com/terms-and-conditions</w:t>
              <w:br/>
              <w:t>https://www.piramalfinance.com/disclaimer</w:t>
            </w:r>
          </w:p>
        </w:tc>
      </w:tr>
      <w:tr>
        <w:tc>
          <w:tcPr>
            <w:tcW w:type="dxa" w:w="432"/>
          </w:tcPr>
          <w:p>
            <w:r/>
            <w:r>
              <w:rPr>
                <w:sz w:val="17"/>
              </w:rPr>
              <w:t>10</w:t>
            </w:r>
          </w:p>
        </w:tc>
        <w:tc>
          <w:tcPr>
            <w:tcW w:type="dxa" w:w="2160"/>
          </w:tcPr>
          <w:p>
            <w:r/>
            <w:r>
              <w:rPr>
                <w:sz w:val="17"/>
              </w:rPr>
              <w:t>Vidya Blog Article (WordPress — legacy)</w:t>
            </w:r>
          </w:p>
        </w:tc>
        <w:tc>
          <w:tcPr>
            <w:tcW w:type="dxa" w:w="1296"/>
          </w:tcPr>
          <w:p>
            <w:r/>
            <w:r>
              <w:rPr>
                <w:b/>
                <w:color w:val="B9770E"/>
                <w:sz w:val="17"/>
              </w:rPr>
              <w:t>Medium</w:t>
            </w:r>
          </w:p>
        </w:tc>
        <w:tc>
          <w:tcPr>
            <w:tcW w:type="dxa" w:w="3744"/>
          </w:tcPr>
          <w:p>
            <w:r/>
            <w:r>
              <w:rPr>
                <w:sz w:val="17"/>
              </w:rPr>
              <w:t>Separate platform; article body + author, breadcrumb, related-link cards, tags; needs cross-platform content extraction.</w:t>
            </w:r>
          </w:p>
        </w:tc>
        <w:tc>
          <w:tcPr>
            <w:tcW w:type="dxa" w:w="3024"/>
          </w:tcPr>
          <w:p>
            <w:r/>
            <w:r>
              <w:rPr>
                <w:sz w:val="17"/>
              </w:rPr>
              <w:t>https://www.piramalfinance.com/vidya</w:t>
              <w:br/>
              <w:t>https://www.piramalfinance.com/vidya/loan-against-property-interest-rate-guide</w:t>
            </w:r>
          </w:p>
        </w:tc>
      </w:tr>
    </w:tbl>
    <w:p/>
    <w:p>
      <w:r>
        <w:br w:type="page"/>
      </w:r>
    </w:p>
    <w:p>
      <w:pPr>
        <w:pBdr>
          <w:bottom w:val="single" w:sz="6" w:space="1" w:color="E85A28"/>
        </w:pBdr>
      </w:pPr>
      <w:r>
        <w:rPr>
          <w:b/>
          <w:color w:val="123A5E"/>
          <w:sz w:val="32"/>
        </w:rPr>
        <w:t>2. Blocks / Components Catalog</w:t>
      </w:r>
    </w:p>
    <w:p>
      <w:r>
        <w:rPr>
          <w:i w:val="0"/>
          <w:sz w:val="21"/>
        </w:rPr>
        <w:t>Blocks below are the reusable EDS components observed in the published markup across templates. Per the brief, visual differences over the same content model are treated as design VARIANTS of one block (e.g. Teaser vs TeaserV2), not separate blocks.</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448"/>
            <w:shd w:val="clear" w:color="auto" w:fill="123A5E"/>
          </w:tcPr>
          <w:p>
            <w:r/>
            <w:r>
              <w:rPr>
                <w:b/>
                <w:color w:val="FFFFFF"/>
                <w:sz w:val="17"/>
              </w:rPr>
              <w:t>Block / Component</w:t>
            </w:r>
          </w:p>
        </w:tc>
        <w:tc>
          <w:tcPr>
            <w:tcW w:type="dxa" w:w="864"/>
            <w:shd w:val="clear" w:color="auto" w:fill="123A5E"/>
          </w:tcPr>
          <w:p>
            <w:r/>
            <w:r>
              <w:rPr>
                <w:b/>
                <w:color w:val="FFFFFF"/>
                <w:sz w:val="17"/>
              </w:rPr>
              <w:t>Cx</w:t>
            </w:r>
          </w:p>
        </w:tc>
        <w:tc>
          <w:tcPr>
            <w:tcW w:type="dxa" w:w="4320"/>
            <w:shd w:val="clear" w:color="auto" w:fill="123A5E"/>
          </w:tcPr>
          <w:p>
            <w:r/>
            <w:r>
              <w:rPr>
                <w:b/>
                <w:color w:val="FFFFFF"/>
                <w:sz w:val="17"/>
              </w:rPr>
              <w:t>Behaviour &amp; Functionality</w:t>
            </w:r>
          </w:p>
        </w:tc>
        <w:tc>
          <w:tcPr>
            <w:tcW w:type="dxa" w:w="2592"/>
            <w:shd w:val="clear" w:color="auto" w:fill="123A5E"/>
          </w:tcPr>
          <w:p>
            <w:r/>
            <w:r>
              <w:rPr>
                <w:b/>
                <w:color w:val="FFFFFF"/>
                <w:sz w:val="17"/>
              </w:rPr>
              <w:t>Reference URL(s)</w:t>
            </w:r>
          </w:p>
        </w:tc>
      </w:tr>
      <w:tr>
        <w:tc>
          <w:tcPr>
            <w:tcW w:type="dxa" w:w="2448"/>
          </w:tcPr>
          <w:p>
            <w:r/>
            <w:r>
              <w:rPr>
                <w:sz w:val="17"/>
              </w:rPr>
              <w:t>Header / Navigation</w:t>
            </w:r>
          </w:p>
        </w:tc>
        <w:tc>
          <w:tcPr>
            <w:tcW w:type="dxa" w:w="864"/>
          </w:tcPr>
          <w:p>
            <w:r/>
            <w:r>
              <w:rPr>
                <w:b/>
                <w:color w:val="B9770E"/>
                <w:sz w:val="17"/>
              </w:rPr>
              <w:t>Medium</w:t>
            </w:r>
          </w:p>
        </w:tc>
        <w:tc>
          <w:tcPr>
            <w:tcW w:type="dxa" w:w="4320"/>
          </w:tcPr>
          <w:p>
            <w:r/>
            <w:r>
              <w:rPr>
                <w:sz w:val="17"/>
              </w:rPr>
              <w:t>Sticky top nav, logo, mega-menu, Login CTA, mobile hamburger drawer. Loaded from /nav.</w:t>
            </w:r>
          </w:p>
        </w:tc>
        <w:tc>
          <w:tcPr>
            <w:tcW w:type="dxa" w:w="2592"/>
          </w:tcPr>
          <w:p>
            <w:r/>
            <w:r>
              <w:rPr>
                <w:sz w:val="17"/>
              </w:rPr>
              <w:t>All pages</w:t>
            </w:r>
          </w:p>
        </w:tc>
      </w:tr>
      <w:tr>
        <w:tc>
          <w:tcPr>
            <w:tcW w:type="dxa" w:w="2448"/>
          </w:tcPr>
          <w:p>
            <w:r/>
            <w:r>
              <w:rPr>
                <w:sz w:val="17"/>
              </w:rPr>
              <w:t>Footer</w:t>
            </w:r>
          </w:p>
        </w:tc>
        <w:tc>
          <w:tcPr>
            <w:tcW w:type="dxa" w:w="864"/>
          </w:tcPr>
          <w:p>
            <w:r/>
            <w:r>
              <w:rPr>
                <w:b/>
                <w:color w:val="1E8249"/>
                <w:sz w:val="17"/>
              </w:rPr>
              <w:t>Low</w:t>
            </w:r>
          </w:p>
        </w:tc>
        <w:tc>
          <w:tcPr>
            <w:tcW w:type="dxa" w:w="4320"/>
          </w:tcPr>
          <w:p>
            <w:r/>
            <w:r>
              <w:rPr>
                <w:sz w:val="17"/>
              </w:rPr>
              <w:t>Multi-column link groups, social icons, app links, legal row. Loaded from /footer.</w:t>
            </w:r>
          </w:p>
        </w:tc>
        <w:tc>
          <w:tcPr>
            <w:tcW w:type="dxa" w:w="2592"/>
          </w:tcPr>
          <w:p>
            <w:r/>
            <w:r>
              <w:rPr>
                <w:sz w:val="17"/>
              </w:rPr>
              <w:t>All pages</w:t>
            </w:r>
          </w:p>
        </w:tc>
      </w:tr>
      <w:tr>
        <w:tc>
          <w:tcPr>
            <w:tcW w:type="dxa" w:w="2448"/>
          </w:tcPr>
          <w:p>
            <w:r/>
            <w:r>
              <w:rPr>
                <w:sz w:val="17"/>
              </w:rPr>
              <w:t>Mobile Nav</w:t>
            </w:r>
          </w:p>
        </w:tc>
        <w:tc>
          <w:tcPr>
            <w:tcW w:type="dxa" w:w="864"/>
          </w:tcPr>
          <w:p>
            <w:r/>
            <w:r>
              <w:rPr>
                <w:b/>
                <w:color w:val="B9770E"/>
                <w:sz w:val="17"/>
              </w:rPr>
              <w:t>Medium</w:t>
            </w:r>
          </w:p>
        </w:tc>
        <w:tc>
          <w:tcPr>
            <w:tcW w:type="dxa" w:w="4320"/>
          </w:tcPr>
          <w:p>
            <w:r/>
            <w:r>
              <w:rPr>
                <w:sz w:val="17"/>
              </w:rPr>
              <w:t>Dedicated mobile navigation source (/mobile-nav).</w:t>
            </w:r>
          </w:p>
        </w:tc>
        <w:tc>
          <w:tcPr>
            <w:tcW w:type="dxa" w:w="2592"/>
          </w:tcPr>
          <w:p>
            <w:r/>
            <w:r>
              <w:rPr>
                <w:sz w:val="17"/>
              </w:rPr>
              <w:t>All pages (mobile)</w:t>
            </w:r>
          </w:p>
        </w:tc>
      </w:tr>
      <w:tr>
        <w:tc>
          <w:tcPr>
            <w:tcW w:type="dxa" w:w="2448"/>
          </w:tcPr>
          <w:p>
            <w:r/>
            <w:r>
              <w:rPr>
                <w:sz w:val="17"/>
              </w:rPr>
              <w:t>Hero Carousel</w:t>
            </w:r>
          </w:p>
        </w:tc>
        <w:tc>
          <w:tcPr>
            <w:tcW w:type="dxa" w:w="864"/>
          </w:tcPr>
          <w:p>
            <w:r/>
            <w:r>
              <w:rPr>
                <w:b/>
                <w:color w:val="C0392B"/>
                <w:sz w:val="17"/>
              </w:rPr>
              <w:t>High</w:t>
            </w:r>
          </w:p>
        </w:tc>
        <w:tc>
          <w:tcPr>
            <w:tcW w:type="dxa" w:w="4320"/>
          </w:tcPr>
          <w:p>
            <w:r/>
            <w:r>
              <w:rPr>
                <w:sz w:val="17"/>
              </w:rPr>
              <w:t>Rotating banner slides with image, heading, CTA; auto-rotate; responsive picture sources.</w:t>
            </w:r>
          </w:p>
        </w:tc>
        <w:tc>
          <w:tcPr>
            <w:tcW w:type="dxa" w:w="2592"/>
          </w:tcPr>
          <w:p>
            <w:r/>
            <w:r>
              <w:rPr>
                <w:sz w:val="17"/>
              </w:rPr>
              <w:t>Homepage</w:t>
            </w:r>
          </w:p>
        </w:tc>
      </w:tr>
      <w:tr>
        <w:tc>
          <w:tcPr>
            <w:tcW w:type="dxa" w:w="2448"/>
          </w:tcPr>
          <w:p>
            <w:r/>
            <w:r>
              <w:rPr>
                <w:sz w:val="17"/>
              </w:rPr>
              <w:t>Teaser / TeaserV2 (variants)</w:t>
            </w:r>
          </w:p>
        </w:tc>
        <w:tc>
          <w:tcPr>
            <w:tcW w:type="dxa" w:w="864"/>
          </w:tcPr>
          <w:p>
            <w:r/>
            <w:r>
              <w:rPr>
                <w:b/>
                <w:color w:val="B9770E"/>
                <w:sz w:val="17"/>
              </w:rPr>
              <w:t>Medium</w:t>
            </w:r>
          </w:p>
        </w:tc>
        <w:tc>
          <w:tcPr>
            <w:tcW w:type="dxa" w:w="4320"/>
          </w:tcPr>
          <w:p>
            <w:r/>
            <w:r>
              <w:rPr>
                <w:sz w:val="17"/>
              </w:rPr>
              <w:t>Promotional content band: image + heading + copy + CTA. Multiple colour/layout variants (--skyblue, teaser-block-six).</w:t>
            </w:r>
          </w:p>
        </w:tc>
        <w:tc>
          <w:tcPr>
            <w:tcW w:type="dxa" w:w="2592"/>
          </w:tcPr>
          <w:p>
            <w:r/>
            <w:r>
              <w:rPr>
                <w:sz w:val="17"/>
              </w:rPr>
              <w:t>Home, product, contact pages</w:t>
            </w:r>
          </w:p>
        </w:tc>
      </w:tr>
      <w:tr>
        <w:tc>
          <w:tcPr>
            <w:tcW w:type="dxa" w:w="2448"/>
          </w:tcPr>
          <w:p>
            <w:r/>
            <w:r>
              <w:rPr>
                <w:sz w:val="17"/>
              </w:rPr>
              <w:t>Key Features</w:t>
            </w:r>
          </w:p>
        </w:tc>
        <w:tc>
          <w:tcPr>
            <w:tcW w:type="dxa" w:w="864"/>
          </w:tcPr>
          <w:p>
            <w:r/>
            <w:r>
              <w:rPr>
                <w:b/>
                <w:color w:val="1E8249"/>
                <w:sz w:val="17"/>
              </w:rPr>
              <w:t>Low</w:t>
            </w:r>
          </w:p>
        </w:tc>
        <w:tc>
          <w:tcPr>
            <w:tcW w:type="dxa" w:w="4320"/>
          </w:tcPr>
          <w:p>
            <w:r/>
            <w:r>
              <w:rPr>
                <w:sz w:val="17"/>
              </w:rPr>
              <w:t>Icon/feature grid listing product benefits; repeated heavily on product pages.</w:t>
            </w:r>
          </w:p>
        </w:tc>
        <w:tc>
          <w:tcPr>
            <w:tcW w:type="dxa" w:w="2592"/>
          </w:tcPr>
          <w:p>
            <w:r/>
            <w:r>
              <w:rPr>
                <w:sz w:val="17"/>
              </w:rPr>
              <w:t>personal-loan, home-loan, business-loan</w:t>
            </w:r>
          </w:p>
        </w:tc>
      </w:tr>
      <w:tr>
        <w:tc>
          <w:tcPr>
            <w:tcW w:type="dxa" w:w="2448"/>
          </w:tcPr>
          <w:p>
            <w:r/>
            <w:r>
              <w:rPr>
                <w:sz w:val="17"/>
              </w:rPr>
              <w:t>Columns</w:t>
            </w:r>
          </w:p>
        </w:tc>
        <w:tc>
          <w:tcPr>
            <w:tcW w:type="dxa" w:w="864"/>
          </w:tcPr>
          <w:p>
            <w:r/>
            <w:r>
              <w:rPr>
                <w:b/>
                <w:color w:val="1E8249"/>
                <w:sz w:val="17"/>
              </w:rPr>
              <w:t>Low</w:t>
            </w:r>
          </w:p>
        </w:tc>
        <w:tc>
          <w:tcPr>
            <w:tcW w:type="dxa" w:w="4320"/>
          </w:tcPr>
          <w:p>
            <w:r/>
            <w:r>
              <w:rPr>
                <w:sz w:val="17"/>
              </w:rPr>
              <w:t>Generic multi-column layout container for mixed content.</w:t>
            </w:r>
          </w:p>
        </w:tc>
        <w:tc>
          <w:tcPr>
            <w:tcW w:type="dxa" w:w="2592"/>
          </w:tcPr>
          <w:p>
            <w:r/>
            <w:r>
              <w:rPr>
                <w:sz w:val="17"/>
              </w:rPr>
              <w:t>Most templates</w:t>
            </w:r>
          </w:p>
        </w:tc>
      </w:tr>
      <w:tr>
        <w:tc>
          <w:tcPr>
            <w:tcW w:type="dxa" w:w="2448"/>
          </w:tcPr>
          <w:p>
            <w:r/>
            <w:r>
              <w:rPr>
                <w:sz w:val="17"/>
              </w:rPr>
              <w:t>EMI / Eligibility Calculator</w:t>
            </w:r>
          </w:p>
        </w:tc>
        <w:tc>
          <w:tcPr>
            <w:tcW w:type="dxa" w:w="864"/>
          </w:tcPr>
          <w:p>
            <w:r/>
            <w:r>
              <w:rPr>
                <w:b/>
                <w:color w:val="C0392B"/>
                <w:sz w:val="17"/>
              </w:rPr>
              <w:t>High</w:t>
            </w:r>
          </w:p>
        </w:tc>
        <w:tc>
          <w:tcPr>
            <w:tcW w:type="dxa" w:w="4320"/>
          </w:tcPr>
          <w:p>
            <w:r/>
            <w:r>
              <w:rPr>
                <w:sz w:val="17"/>
              </w:rPr>
              <w:t>Interactive calculator (homeloancalculatorv2, emiandeligiblitycalc, eligibilitycalculator) fed by /api/*-calculator.json; sliders, datepicker, live computation.</w:t>
            </w:r>
          </w:p>
        </w:tc>
        <w:tc>
          <w:tcPr>
            <w:tcW w:type="dxa" w:w="2592"/>
          </w:tcPr>
          <w:p>
            <w:r/>
            <w:r>
              <w:rPr>
                <w:sz w:val="17"/>
              </w:rPr>
              <w:t>Home, product, /calculators/*</w:t>
            </w:r>
          </w:p>
        </w:tc>
      </w:tr>
      <w:tr>
        <w:tc>
          <w:tcPr>
            <w:tcW w:type="dxa" w:w="2448"/>
          </w:tcPr>
          <w:p>
            <w:r/>
            <w:r>
              <w:rPr>
                <w:sz w:val="17"/>
              </w:rPr>
              <w:t>Apply Loan Form (applyloanform)</w:t>
            </w:r>
          </w:p>
        </w:tc>
        <w:tc>
          <w:tcPr>
            <w:tcW w:type="dxa" w:w="864"/>
          </w:tcPr>
          <w:p>
            <w:r/>
            <w:r>
              <w:rPr>
                <w:b/>
                <w:color w:val="C0392B"/>
                <w:sz w:val="17"/>
              </w:rPr>
              <w:t>High</w:t>
            </w:r>
          </w:p>
        </w:tc>
        <w:tc>
          <w:tcPr>
            <w:tcW w:type="dxa" w:w="4320"/>
          </w:tcPr>
          <w:p>
            <w:r/>
            <w:r>
              <w:rPr>
                <w:sz w:val="17"/>
              </w:rPr>
              <w:t>Lead-capture / loan application form; sticky 'Apply Loan Now' CTA; posts to /api/apply-form-loan.json; routes to /loan/login.</w:t>
            </w:r>
          </w:p>
        </w:tc>
        <w:tc>
          <w:tcPr>
            <w:tcW w:type="dxa" w:w="2592"/>
          </w:tcPr>
          <w:p>
            <w:r/>
            <w:r>
              <w:rPr>
                <w:sz w:val="17"/>
              </w:rPr>
              <w:t>All product pages, homepage</w:t>
            </w:r>
          </w:p>
        </w:tc>
      </w:tr>
      <w:tr>
        <w:tc>
          <w:tcPr>
            <w:tcW w:type="dxa" w:w="2448"/>
          </w:tcPr>
          <w:p>
            <w:r/>
            <w:r>
              <w:rPr>
                <w:sz w:val="17"/>
              </w:rPr>
              <w:t>Branch Locator (branchlocator)</w:t>
            </w:r>
          </w:p>
        </w:tc>
        <w:tc>
          <w:tcPr>
            <w:tcW w:type="dxa" w:w="864"/>
          </w:tcPr>
          <w:p>
            <w:r/>
            <w:r>
              <w:rPr>
                <w:b/>
                <w:color w:val="C0392B"/>
                <w:sz w:val="17"/>
              </w:rPr>
              <w:t>High</w:t>
            </w:r>
          </w:p>
        </w:tc>
        <w:tc>
          <w:tcPr>
            <w:tcW w:type="dxa" w:w="4320"/>
          </w:tcPr>
          <w:p>
            <w:r/>
            <w:r>
              <w:rPr>
                <w:sz w:val="17"/>
              </w:rPr>
              <w:t>Cascading State/City/Branch dropdowns + Google Maps embed; data from /api/branch-locator.json.</w:t>
            </w:r>
          </w:p>
        </w:tc>
        <w:tc>
          <w:tcPr>
            <w:tcW w:type="dxa" w:w="2592"/>
          </w:tcPr>
          <w:p>
            <w:r/>
            <w:r>
              <w:rPr>
                <w:sz w:val="17"/>
              </w:rPr>
              <w:t>/branch-locator and children</w:t>
            </w:r>
          </w:p>
        </w:tc>
      </w:tr>
      <w:tr>
        <w:tc>
          <w:tcPr>
            <w:tcW w:type="dxa" w:w="2448"/>
          </w:tcPr>
          <w:p>
            <w:r/>
            <w:r>
              <w:rPr>
                <w:sz w:val="17"/>
              </w:rPr>
              <w:t>City List (city-list) / Branches</w:t>
            </w:r>
          </w:p>
        </w:tc>
        <w:tc>
          <w:tcPr>
            <w:tcW w:type="dxa" w:w="864"/>
          </w:tcPr>
          <w:p>
            <w:r/>
            <w:r>
              <w:rPr>
                <w:b/>
                <w:color w:val="B9770E"/>
                <w:sz w:val="17"/>
              </w:rPr>
              <w:t>Medium</w:t>
            </w:r>
          </w:p>
        </w:tc>
        <w:tc>
          <w:tcPr>
            <w:tcW w:type="dxa" w:w="4320"/>
          </w:tcPr>
          <w:p>
            <w:r/>
            <w:r>
              <w:rPr>
                <w:sz w:val="17"/>
              </w:rPr>
              <w:t>Auto-generated list of city/branch links for internal linking &amp; SEO.</w:t>
            </w:r>
          </w:p>
        </w:tc>
        <w:tc>
          <w:tcPr>
            <w:tcW w:type="dxa" w:w="2592"/>
          </w:tcPr>
          <w:p>
            <w:r/>
            <w:r>
              <w:rPr>
                <w:sz w:val="17"/>
              </w:rPr>
              <w:t>product &amp; locator pages</w:t>
            </w:r>
          </w:p>
        </w:tc>
      </w:tr>
      <w:tr>
        <w:tc>
          <w:tcPr>
            <w:tcW w:type="dxa" w:w="2448"/>
          </w:tcPr>
          <w:p>
            <w:r/>
            <w:r>
              <w:rPr>
                <w:sz w:val="17"/>
              </w:rPr>
              <w:t>Accordion / Accordion-Group</w:t>
            </w:r>
          </w:p>
        </w:tc>
        <w:tc>
          <w:tcPr>
            <w:tcW w:type="dxa" w:w="864"/>
          </w:tcPr>
          <w:p>
            <w:r/>
            <w:r>
              <w:rPr>
                <w:b/>
                <w:color w:val="1E8249"/>
                <w:sz w:val="17"/>
              </w:rPr>
              <w:t>Low</w:t>
            </w:r>
          </w:p>
        </w:tc>
        <w:tc>
          <w:tcPr>
            <w:tcW w:type="dxa" w:w="4320"/>
          </w:tcPr>
          <w:p>
            <w:r/>
            <w:r>
              <w:rPr>
                <w:sz w:val="17"/>
              </w:rPr>
              <w:t>Expand/collapse FAQ and disclosure content; backs FAQ schema.</w:t>
            </w:r>
          </w:p>
        </w:tc>
        <w:tc>
          <w:tcPr>
            <w:tcW w:type="dxa" w:w="2592"/>
          </w:tcPr>
          <w:p>
            <w:r/>
            <w:r>
              <w:rPr>
                <w:sz w:val="17"/>
              </w:rPr>
              <w:t>product, faq, stakeholders</w:t>
            </w:r>
          </w:p>
        </w:tc>
      </w:tr>
      <w:tr>
        <w:tc>
          <w:tcPr>
            <w:tcW w:type="dxa" w:w="2448"/>
          </w:tcPr>
          <w:p>
            <w:r/>
            <w:r>
              <w:rPr>
                <w:sz w:val="17"/>
              </w:rPr>
              <w:t>FAQ Block</w:t>
            </w:r>
          </w:p>
        </w:tc>
        <w:tc>
          <w:tcPr>
            <w:tcW w:type="dxa" w:w="864"/>
          </w:tcPr>
          <w:p>
            <w:r/>
            <w:r>
              <w:rPr>
                <w:b/>
                <w:color w:val="1E8249"/>
                <w:sz w:val="17"/>
              </w:rPr>
              <w:t>Low</w:t>
            </w:r>
          </w:p>
        </w:tc>
        <w:tc>
          <w:tcPr>
            <w:tcW w:type="dxa" w:w="4320"/>
          </w:tcPr>
          <w:p>
            <w:r/>
            <w:r>
              <w:rPr>
                <w:sz w:val="17"/>
              </w:rPr>
              <w:t>Structured Q&amp;A with FAQPage JSON-LD.</w:t>
            </w:r>
          </w:p>
        </w:tc>
        <w:tc>
          <w:tcPr>
            <w:tcW w:type="dxa" w:w="2592"/>
          </w:tcPr>
          <w:p>
            <w:r/>
            <w:r>
              <w:rPr>
                <w:sz w:val="17"/>
              </w:rPr>
              <w:t>/faq, product pages</w:t>
            </w:r>
          </w:p>
        </w:tc>
      </w:tr>
      <w:tr>
        <w:tc>
          <w:tcPr>
            <w:tcW w:type="dxa" w:w="2448"/>
          </w:tcPr>
          <w:p>
            <w:r/>
            <w:r>
              <w:rPr>
                <w:sz w:val="17"/>
              </w:rPr>
              <w:t>Tables</w:t>
            </w:r>
          </w:p>
        </w:tc>
        <w:tc>
          <w:tcPr>
            <w:tcW w:type="dxa" w:w="864"/>
          </w:tcPr>
          <w:p>
            <w:r/>
            <w:r>
              <w:rPr>
                <w:b/>
                <w:color w:val="1E8249"/>
                <w:sz w:val="17"/>
              </w:rPr>
              <w:t>Low</w:t>
            </w:r>
          </w:p>
        </w:tc>
        <w:tc>
          <w:tcPr>
            <w:tcW w:type="dxa" w:w="4320"/>
          </w:tcPr>
          <w:p>
            <w:r/>
            <w:r>
              <w:rPr>
                <w:sz w:val="17"/>
              </w:rPr>
              <w:t>Interest-rate / charges / comparison tables.</w:t>
            </w:r>
          </w:p>
        </w:tc>
        <w:tc>
          <w:tcPr>
            <w:tcW w:type="dxa" w:w="2592"/>
          </w:tcPr>
          <w:p>
            <w:r/>
            <w:r>
              <w:rPr>
                <w:sz w:val="17"/>
              </w:rPr>
              <w:t>stakeholders, product pages</w:t>
            </w:r>
          </w:p>
        </w:tc>
      </w:tr>
      <w:tr>
        <w:tc>
          <w:tcPr>
            <w:tcW w:type="dxa" w:w="2448"/>
          </w:tcPr>
          <w:p>
            <w:r/>
            <w:r>
              <w:rPr>
                <w:sz w:val="17"/>
              </w:rPr>
              <w:t>Tab-Link (tabbed sections)</w:t>
            </w:r>
          </w:p>
        </w:tc>
        <w:tc>
          <w:tcPr>
            <w:tcW w:type="dxa" w:w="864"/>
          </w:tcPr>
          <w:p>
            <w:r/>
            <w:r>
              <w:rPr>
                <w:b/>
                <w:color w:val="B9770E"/>
                <w:sz w:val="17"/>
              </w:rPr>
              <w:t>Medium</w:t>
            </w:r>
          </w:p>
        </w:tc>
        <w:tc>
          <w:tcPr>
            <w:tcW w:type="dxa" w:w="4320"/>
          </w:tcPr>
          <w:p>
            <w:r/>
            <w:r>
              <w:rPr>
                <w:sz w:val="17"/>
              </w:rPr>
              <w:t>Tabbed navigation between content panels.</w:t>
            </w:r>
          </w:p>
        </w:tc>
        <w:tc>
          <w:tcPr>
            <w:tcW w:type="dxa" w:w="2592"/>
          </w:tcPr>
          <w:p>
            <w:r/>
            <w:r>
              <w:rPr>
                <w:sz w:val="17"/>
              </w:rPr>
              <w:t>/stakeholders/interest-rates</w:t>
            </w:r>
          </w:p>
        </w:tc>
      </w:tr>
      <w:tr>
        <w:tc>
          <w:tcPr>
            <w:tcW w:type="dxa" w:w="2448"/>
          </w:tcPr>
          <w:p>
            <w:r/>
            <w:r>
              <w:rPr>
                <w:sz w:val="17"/>
              </w:rPr>
              <w:t>Testimonials (testimonies)</w:t>
            </w:r>
          </w:p>
        </w:tc>
        <w:tc>
          <w:tcPr>
            <w:tcW w:type="dxa" w:w="864"/>
          </w:tcPr>
          <w:p>
            <w:r/>
            <w:r>
              <w:rPr>
                <w:b/>
                <w:color w:val="B9770E"/>
                <w:sz w:val="17"/>
              </w:rPr>
              <w:t>Medium</w:t>
            </w:r>
          </w:p>
        </w:tc>
        <w:tc>
          <w:tcPr>
            <w:tcW w:type="dxa" w:w="4320"/>
          </w:tcPr>
          <w:p>
            <w:r/>
            <w:r>
              <w:rPr>
                <w:sz w:val="17"/>
              </w:rPr>
              <w:t>Customer review carousel/cards.</w:t>
            </w:r>
          </w:p>
        </w:tc>
        <w:tc>
          <w:tcPr>
            <w:tcW w:type="dxa" w:w="2592"/>
          </w:tcPr>
          <w:p>
            <w:r/>
            <w:r>
              <w:rPr>
                <w:sz w:val="17"/>
              </w:rPr>
              <w:t>Homepage</w:t>
            </w:r>
          </w:p>
        </w:tc>
      </w:tr>
      <w:tr>
        <w:tc>
          <w:tcPr>
            <w:tcW w:type="dxa" w:w="2448"/>
          </w:tcPr>
          <w:p>
            <w:r/>
            <w:r>
              <w:rPr>
                <w:sz w:val="17"/>
              </w:rPr>
              <w:t>Cards / Icon Cards</w:t>
            </w:r>
          </w:p>
        </w:tc>
        <w:tc>
          <w:tcPr>
            <w:tcW w:type="dxa" w:w="864"/>
          </w:tcPr>
          <w:p>
            <w:r/>
            <w:r>
              <w:rPr>
                <w:b/>
                <w:color w:val="1E8249"/>
                <w:sz w:val="17"/>
              </w:rPr>
              <w:t>Low</w:t>
            </w:r>
          </w:p>
        </w:tc>
        <w:tc>
          <w:tcPr>
            <w:tcW w:type="dxa" w:w="4320"/>
          </w:tcPr>
          <w:p>
            <w:r/>
            <w:r>
              <w:rPr>
                <w:sz w:val="17"/>
              </w:rPr>
              <w:t>Icon + label + link grid (contact channels, services).</w:t>
            </w:r>
          </w:p>
        </w:tc>
        <w:tc>
          <w:tcPr>
            <w:tcW w:type="dxa" w:w="2592"/>
          </w:tcPr>
          <w:p>
            <w:r/>
            <w:r>
              <w:rPr>
                <w:sz w:val="17"/>
              </w:rPr>
              <w:t>contact-us, faq</w:t>
            </w:r>
          </w:p>
        </w:tc>
      </w:tr>
      <w:tr>
        <w:tc>
          <w:tcPr>
            <w:tcW w:type="dxa" w:w="2448"/>
          </w:tcPr>
          <w:p>
            <w:r/>
            <w:r>
              <w:rPr>
                <w:sz w:val="17"/>
              </w:rPr>
              <w:t>Image-with-Link / Img-bg (imgwithlink)</w:t>
            </w:r>
          </w:p>
        </w:tc>
        <w:tc>
          <w:tcPr>
            <w:tcW w:type="dxa" w:w="864"/>
          </w:tcPr>
          <w:p>
            <w:r/>
            <w:r>
              <w:rPr>
                <w:b/>
                <w:color w:val="1E8249"/>
                <w:sz w:val="17"/>
              </w:rPr>
              <w:t>Low</w:t>
            </w:r>
          </w:p>
        </w:tc>
        <w:tc>
          <w:tcPr>
            <w:tcW w:type="dxa" w:w="4320"/>
          </w:tcPr>
          <w:p>
            <w:r/>
            <w:r>
              <w:rPr>
                <w:sz w:val="17"/>
              </w:rPr>
              <w:t>Linked image / background-image promo tile.</w:t>
            </w:r>
          </w:p>
        </w:tc>
        <w:tc>
          <w:tcPr>
            <w:tcW w:type="dxa" w:w="2592"/>
          </w:tcPr>
          <w:p>
            <w:r/>
            <w:r>
              <w:rPr>
                <w:sz w:val="17"/>
              </w:rPr>
              <w:t>Home, contact-us</w:t>
            </w:r>
          </w:p>
        </w:tc>
      </w:tr>
      <w:tr>
        <w:tc>
          <w:tcPr>
            <w:tcW w:type="dxa" w:w="2448"/>
          </w:tcPr>
          <w:p>
            <w:r/>
            <w:r>
              <w:rPr>
                <w:sz w:val="17"/>
              </w:rPr>
              <w:t>Embed</w:t>
            </w:r>
          </w:p>
        </w:tc>
        <w:tc>
          <w:tcPr>
            <w:tcW w:type="dxa" w:w="864"/>
          </w:tcPr>
          <w:p>
            <w:r/>
            <w:r>
              <w:rPr>
                <w:b/>
                <w:color w:val="B9770E"/>
                <w:sz w:val="17"/>
              </w:rPr>
              <w:t>Medium</w:t>
            </w:r>
          </w:p>
        </w:tc>
        <w:tc>
          <w:tcPr>
            <w:tcW w:type="dxa" w:w="4320"/>
          </w:tcPr>
          <w:p>
            <w:r/>
            <w:r>
              <w:rPr>
                <w:sz w:val="17"/>
              </w:rPr>
              <w:t>Embeds external media (YouTube video, third-party widgets).</w:t>
            </w:r>
          </w:p>
        </w:tc>
        <w:tc>
          <w:tcPr>
            <w:tcW w:type="dxa" w:w="2592"/>
          </w:tcPr>
          <w:p>
            <w:r/>
            <w:r>
              <w:rPr>
                <w:sz w:val="17"/>
              </w:rPr>
              <w:t>product, calculator pages</w:t>
            </w:r>
          </w:p>
        </w:tc>
      </w:tr>
      <w:tr>
        <w:tc>
          <w:tcPr>
            <w:tcW w:type="dxa" w:w="2448"/>
          </w:tcPr>
          <w:p>
            <w:r/>
            <w:r>
              <w:rPr>
                <w:sz w:val="17"/>
              </w:rPr>
              <w:t>Breadcrumb</w:t>
            </w:r>
          </w:p>
        </w:tc>
        <w:tc>
          <w:tcPr>
            <w:tcW w:type="dxa" w:w="864"/>
          </w:tcPr>
          <w:p>
            <w:r/>
            <w:r>
              <w:rPr>
                <w:b/>
                <w:color w:val="1E8249"/>
                <w:sz w:val="17"/>
              </w:rPr>
              <w:t>Low</w:t>
            </w:r>
          </w:p>
        </w:tc>
        <w:tc>
          <w:tcPr>
            <w:tcW w:type="dxa" w:w="4320"/>
          </w:tcPr>
          <w:p>
            <w:r/>
            <w:r>
              <w:rPr>
                <w:sz w:val="17"/>
              </w:rPr>
              <w:t>Navigational breadcrumb with BreadcrumbList schema.</w:t>
            </w:r>
          </w:p>
        </w:tc>
        <w:tc>
          <w:tcPr>
            <w:tcW w:type="dxa" w:w="2592"/>
          </w:tcPr>
          <w:p>
            <w:r/>
            <w:r>
              <w:rPr>
                <w:sz w:val="17"/>
              </w:rPr>
              <w:t>All non-home pages</w:t>
            </w:r>
          </w:p>
        </w:tc>
      </w:tr>
      <w:tr>
        <w:tc>
          <w:tcPr>
            <w:tcW w:type="dxa" w:w="2448"/>
          </w:tcPr>
          <w:p>
            <w:r/>
            <w:r>
              <w:rPr>
                <w:sz w:val="17"/>
              </w:rPr>
              <w:t>Schema-Tag / Code (schema-tag, code)</w:t>
            </w:r>
          </w:p>
        </w:tc>
        <w:tc>
          <w:tcPr>
            <w:tcW w:type="dxa" w:w="864"/>
          </w:tcPr>
          <w:p>
            <w:r/>
            <w:r>
              <w:rPr>
                <w:b/>
                <w:color w:val="B9770E"/>
                <w:sz w:val="17"/>
              </w:rPr>
              <w:t>Medium</w:t>
            </w:r>
          </w:p>
        </w:tc>
        <w:tc>
          <w:tcPr>
            <w:tcW w:type="dxa" w:w="4320"/>
          </w:tcPr>
          <w:p>
            <w:r/>
            <w:r>
              <w:rPr>
                <w:sz w:val="17"/>
              </w:rPr>
              <w:t>Injects JSON-LD structured data &amp; inline code/scripts per page.</w:t>
            </w:r>
          </w:p>
        </w:tc>
        <w:tc>
          <w:tcPr>
            <w:tcW w:type="dxa" w:w="2592"/>
          </w:tcPr>
          <w:p>
            <w:r/>
            <w:r>
              <w:rPr>
                <w:sz w:val="17"/>
              </w:rPr>
              <w:t>product, calculator, locator pages</w:t>
            </w:r>
          </w:p>
        </w:tc>
      </w:tr>
      <w:tr>
        <w:tc>
          <w:tcPr>
            <w:tcW w:type="dxa" w:w="2448"/>
          </w:tcPr>
          <w:p>
            <w:r/>
            <w:r>
              <w:rPr>
                <w:sz w:val="17"/>
              </w:rPr>
              <w:t>Wrapper-Creation (wrappercreation)</w:t>
            </w:r>
          </w:p>
        </w:tc>
        <w:tc>
          <w:tcPr>
            <w:tcW w:type="dxa" w:w="864"/>
          </w:tcPr>
          <w:p>
            <w:r/>
            <w:r>
              <w:rPr>
                <w:b/>
                <w:color w:val="1E8249"/>
                <w:sz w:val="17"/>
              </w:rPr>
              <w:t>Low</w:t>
            </w:r>
          </w:p>
        </w:tc>
        <w:tc>
          <w:tcPr>
            <w:tcW w:type="dxa" w:w="4320"/>
          </w:tcPr>
          <w:p>
            <w:r/>
            <w:r>
              <w:rPr>
                <w:sz w:val="17"/>
              </w:rPr>
              <w:t>Layout grouping/section wrapper utility.</w:t>
            </w:r>
          </w:p>
        </w:tc>
        <w:tc>
          <w:tcPr>
            <w:tcW w:type="dxa" w:w="2592"/>
          </w:tcPr>
          <w:p>
            <w:r/>
            <w:r>
              <w:rPr>
                <w:sz w:val="17"/>
              </w:rPr>
              <w:t>Home, product, contact pages</w:t>
            </w:r>
          </w:p>
        </w:tc>
      </w:tr>
    </w:tbl>
    <w:p/>
    <w:p>
      <w:r>
        <w:rPr>
          <w:b/>
          <w:color w:val="E85A28"/>
          <w:sz w:val="25"/>
        </w:rPr>
        <w:t>Representative Screenshots</w:t>
      </w:r>
    </w:p>
    <w:p>
      <w:pPr>
        <w:jc w:val="center"/>
      </w:pPr>
      <w:r>
        <w:drawing>
          <wp:inline xmlns:a="http://schemas.openxmlformats.org/drawingml/2006/main" xmlns:pic="http://schemas.openxmlformats.org/drawingml/2006/picture">
            <wp:extent cx="5120640" cy="3236507"/>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120640" cy="3236507"/>
                    </a:xfrm>
                    <a:prstGeom prst="rect"/>
                  </pic:spPr>
                </pic:pic>
              </a:graphicData>
            </a:graphic>
          </wp:inline>
        </w:drawing>
      </w:r>
    </w:p>
    <w:p>
      <w:pPr>
        <w:jc w:val="center"/>
      </w:pPr>
      <w:r>
        <w:rPr>
          <w:i/>
          <w:color w:val="555555"/>
          <w:sz w:val="18"/>
        </w:rPr>
        <w:t>Figure 1 — Homepage: hero carousel + Login CTA (Homepage template)</w:t>
      </w:r>
    </w:p>
    <w:p>
      <w:pPr>
        <w:jc w:val="center"/>
      </w:pPr>
      <w:r>
        <w:drawing>
          <wp:inline xmlns:a="http://schemas.openxmlformats.org/drawingml/2006/main" xmlns:pic="http://schemas.openxmlformats.org/drawingml/2006/picture">
            <wp:extent cx="5120640" cy="3236507"/>
            <wp:docPr id="2" name="Picture 2"/>
            <wp:cNvGraphicFramePr>
              <a:graphicFrameLocks noChangeAspect="1"/>
            </wp:cNvGraphicFramePr>
            <a:graphic>
              <a:graphicData uri="http://schemas.openxmlformats.org/drawingml/2006/picture">
                <pic:pic>
                  <pic:nvPicPr>
                    <pic:cNvPr id="0" name="02-loan-product.png"/>
                    <pic:cNvPicPr/>
                  </pic:nvPicPr>
                  <pic:blipFill>
                    <a:blip r:embed="rId10"/>
                    <a:stretch>
                      <a:fillRect/>
                    </a:stretch>
                  </pic:blipFill>
                  <pic:spPr>
                    <a:xfrm>
                      <a:off x="0" y="0"/>
                      <a:ext cx="5120640" cy="3236507"/>
                    </a:xfrm>
                    <a:prstGeom prst="rect"/>
                  </pic:spPr>
                </pic:pic>
              </a:graphicData>
            </a:graphic>
          </wp:inline>
        </w:drawing>
      </w:r>
    </w:p>
    <w:p>
      <w:pPr>
        <w:jc w:val="center"/>
      </w:pPr>
      <w:r>
        <w:rPr>
          <w:i/>
          <w:color w:val="555555"/>
          <w:sz w:val="18"/>
        </w:rPr>
        <w:t>Figure 2 — Loan Product Page: hero, breadcrumb, Apply CTA, sticky 'Apply Loan Now' bar</w:t>
      </w:r>
    </w:p>
    <w:p>
      <w:pPr>
        <w:jc w:val="center"/>
      </w:pPr>
      <w:r>
        <w:drawing>
          <wp:inline xmlns:a="http://schemas.openxmlformats.org/drawingml/2006/main" xmlns:pic="http://schemas.openxmlformats.org/drawingml/2006/picture">
            <wp:extent cx="5120640" cy="3236507"/>
            <wp:docPr id="3" name="Picture 3"/>
            <wp:cNvGraphicFramePr>
              <a:graphicFrameLocks noChangeAspect="1"/>
            </wp:cNvGraphicFramePr>
            <a:graphic>
              <a:graphicData uri="http://schemas.openxmlformats.org/drawingml/2006/picture">
                <pic:pic>
                  <pic:nvPicPr>
                    <pic:cNvPr id="0" name="03-calculator.png"/>
                    <pic:cNvPicPr/>
                  </pic:nvPicPr>
                  <pic:blipFill>
                    <a:blip r:embed="rId11"/>
                    <a:stretch>
                      <a:fillRect/>
                    </a:stretch>
                  </pic:blipFill>
                  <pic:spPr>
                    <a:xfrm>
                      <a:off x="0" y="0"/>
                      <a:ext cx="5120640" cy="3236507"/>
                    </a:xfrm>
                    <a:prstGeom prst="rect"/>
                  </pic:spPr>
                </pic:pic>
              </a:graphicData>
            </a:graphic>
          </wp:inline>
        </w:drawing>
      </w:r>
    </w:p>
    <w:p>
      <w:pPr>
        <w:jc w:val="center"/>
      </w:pPr>
      <w:r>
        <w:rPr>
          <w:i/>
          <w:color w:val="555555"/>
          <w:sz w:val="18"/>
        </w:rPr>
        <w:t>Figure 3 — Calculator Page: interactive EMI calculator template</w:t>
      </w:r>
    </w:p>
    <w:p>
      <w:pPr>
        <w:jc w:val="center"/>
      </w:pPr>
      <w:r>
        <w:drawing>
          <wp:inline xmlns:a="http://schemas.openxmlformats.org/drawingml/2006/main" xmlns:pic="http://schemas.openxmlformats.org/drawingml/2006/picture">
            <wp:extent cx="5120640" cy="3236507"/>
            <wp:docPr id="4" name="Picture 4"/>
            <wp:cNvGraphicFramePr>
              <a:graphicFrameLocks noChangeAspect="1"/>
            </wp:cNvGraphicFramePr>
            <a:graphic>
              <a:graphicData uri="http://schemas.openxmlformats.org/drawingml/2006/picture">
                <pic:pic>
                  <pic:nvPicPr>
                    <pic:cNvPr id="0" name="04-branch-locator.png"/>
                    <pic:cNvPicPr/>
                  </pic:nvPicPr>
                  <pic:blipFill>
                    <a:blip r:embed="rId12"/>
                    <a:stretch>
                      <a:fillRect/>
                    </a:stretch>
                  </pic:blipFill>
                  <pic:spPr>
                    <a:xfrm>
                      <a:off x="0" y="0"/>
                      <a:ext cx="5120640" cy="3236507"/>
                    </a:xfrm>
                    <a:prstGeom prst="rect"/>
                  </pic:spPr>
                </pic:pic>
              </a:graphicData>
            </a:graphic>
          </wp:inline>
        </w:drawing>
      </w:r>
    </w:p>
    <w:p>
      <w:pPr>
        <w:jc w:val="center"/>
      </w:pPr>
      <w:r>
        <w:rPr>
          <w:i/>
          <w:color w:val="555555"/>
          <w:sz w:val="18"/>
        </w:rPr>
        <w:t>Figure 4 — Branch Locator: cascading State/City dropdowns + Google Maps</w:t>
      </w:r>
    </w:p>
    <w:p>
      <w:pPr>
        <w:jc w:val="center"/>
      </w:pPr>
      <w:r>
        <w:drawing>
          <wp:inline xmlns:a="http://schemas.openxmlformats.org/drawingml/2006/main" xmlns:pic="http://schemas.openxmlformats.org/drawingml/2006/picture">
            <wp:extent cx="5120640" cy="3236507"/>
            <wp:docPr id="5" name="Picture 5"/>
            <wp:cNvGraphicFramePr>
              <a:graphicFrameLocks noChangeAspect="1"/>
            </wp:cNvGraphicFramePr>
            <a:graphic>
              <a:graphicData uri="http://schemas.openxmlformats.org/drawingml/2006/picture">
                <pic:pic>
                  <pic:nvPicPr>
                    <pic:cNvPr id="0" name="05-vidya-blog.png"/>
                    <pic:cNvPicPr/>
                  </pic:nvPicPr>
                  <pic:blipFill>
                    <a:blip r:embed="rId13"/>
                    <a:stretch>
                      <a:fillRect/>
                    </a:stretch>
                  </pic:blipFill>
                  <pic:spPr>
                    <a:xfrm>
                      <a:off x="0" y="0"/>
                      <a:ext cx="5120640" cy="3236507"/>
                    </a:xfrm>
                    <a:prstGeom prst="rect"/>
                  </pic:spPr>
                </pic:pic>
              </a:graphicData>
            </a:graphic>
          </wp:inline>
        </w:drawing>
      </w:r>
    </w:p>
    <w:p>
      <w:pPr>
        <w:jc w:val="center"/>
      </w:pPr>
      <w:r>
        <w:rPr>
          <w:i/>
          <w:color w:val="555555"/>
          <w:sz w:val="18"/>
        </w:rPr>
        <w:t>Figure 5 — Vidya Blog article (legacy WordPress) — visually distinct template</w:t>
      </w:r>
    </w:p>
    <w:p>
      <w:r>
        <w:br w:type="page"/>
      </w:r>
    </w:p>
    <w:p>
      <w:pPr>
        <w:pBdr>
          <w:bottom w:val="single" w:sz="6" w:space="1" w:color="E85A28"/>
        </w:pBdr>
      </w:pPr>
      <w:r>
        <w:rPr>
          <w:b/>
          <w:color w:val="123A5E"/>
          <w:sz w:val="32"/>
        </w:rPr>
        <w:t>3. Page Counts by Template</w:t>
      </w:r>
    </w:p>
    <w:p>
      <w:r>
        <w:rPr>
          <w:i w:val="0"/>
          <w:sz w:val="21"/>
        </w:rPr>
        <w:t>Counts derived from the XML sitemaps. Migration disposition indicates whether pages can be migrated automatically (standardized, data-driven) or require manual/assisted effort (interactive logic, custom content, or cross-platform extraction).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880"/>
            <w:shd w:val="clear" w:color="auto" w:fill="123A5E"/>
          </w:tcPr>
          <w:p>
            <w:r/>
            <w:r>
              <w:rPr>
                <w:b/>
                <w:color w:val="FFFFFF"/>
                <w:sz w:val="17"/>
              </w:rPr>
              <w:t>Template</w:t>
            </w:r>
          </w:p>
        </w:tc>
        <w:tc>
          <w:tcPr>
            <w:tcW w:type="dxa" w:w="1152"/>
            <w:shd w:val="clear" w:color="auto" w:fill="123A5E"/>
          </w:tcPr>
          <w:p>
            <w:r/>
            <w:r>
              <w:rPr>
                <w:b/>
                <w:color w:val="FFFFFF"/>
                <w:sz w:val="17"/>
              </w:rPr>
              <w:t>Pages</w:t>
            </w:r>
          </w:p>
        </w:tc>
        <w:tc>
          <w:tcPr>
            <w:tcW w:type="dxa" w:w="2304"/>
            <w:shd w:val="clear" w:color="auto" w:fill="123A5E"/>
          </w:tcPr>
          <w:p>
            <w:r/>
            <w:r>
              <w:rPr>
                <w:b/>
                <w:color w:val="FFFFFF"/>
                <w:sz w:val="17"/>
              </w:rPr>
              <w:t>Migration Disposition</w:t>
            </w:r>
          </w:p>
        </w:tc>
        <w:tc>
          <w:tcPr>
            <w:tcW w:type="dxa" w:w="3456"/>
            <w:shd w:val="clear" w:color="auto" w:fill="123A5E"/>
          </w:tcPr>
          <w:p>
            <w:r/>
            <w:r>
              <w:rPr>
                <w:b/>
                <w:color w:val="FFFFFF"/>
                <w:sz w:val="17"/>
              </w:rPr>
              <w:t>Rationale</w:t>
            </w:r>
          </w:p>
        </w:tc>
      </w:tr>
      <w:tr>
        <w:tc>
          <w:tcPr>
            <w:tcW w:type="dxa" w:w="2880"/>
          </w:tcPr>
          <w:p>
            <w:r/>
            <w:r>
              <w:rPr>
                <w:sz w:val="17"/>
              </w:rPr>
              <w:t>Branch-Locator — City/Branch detail</w:t>
            </w:r>
          </w:p>
        </w:tc>
        <w:tc>
          <w:tcPr>
            <w:tcW w:type="dxa" w:w="1152"/>
          </w:tcPr>
          <w:p>
            <w:r/>
            <w:r>
              <w:rPr>
                <w:sz w:val="17"/>
              </w:rPr>
              <w:t>1,163</w:t>
            </w:r>
          </w:p>
        </w:tc>
        <w:tc>
          <w:tcPr>
            <w:tcW w:type="dxa" w:w="2304"/>
          </w:tcPr>
          <w:p>
            <w:r/>
            <w:r>
              <w:rPr>
                <w:sz w:val="17"/>
              </w:rPr>
              <w:t>Automatic</w:t>
            </w:r>
          </w:p>
        </w:tc>
        <w:tc>
          <w:tcPr>
            <w:tcW w:type="dxa" w:w="3456"/>
          </w:tcPr>
          <w:p>
            <w:r/>
            <w:r>
              <w:rPr>
                <w:sz w:val="17"/>
              </w:rPr>
              <w:t>Highly standardized, data-source driven location pages.</w:t>
            </w:r>
          </w:p>
        </w:tc>
      </w:tr>
      <w:tr>
        <w:tc>
          <w:tcPr>
            <w:tcW w:type="dxa" w:w="2880"/>
          </w:tcPr>
          <w:p>
            <w:r/>
            <w:r>
              <w:rPr>
                <w:sz w:val="17"/>
              </w:rPr>
              <w:t>Branch-Locator — State landing</w:t>
            </w:r>
          </w:p>
        </w:tc>
        <w:tc>
          <w:tcPr>
            <w:tcW w:type="dxa" w:w="1152"/>
          </w:tcPr>
          <w:p>
            <w:r/>
            <w:r>
              <w:rPr>
                <w:sz w:val="17"/>
              </w:rPr>
              <w:t>25</w:t>
            </w:r>
          </w:p>
        </w:tc>
        <w:tc>
          <w:tcPr>
            <w:tcW w:type="dxa" w:w="2304"/>
          </w:tcPr>
          <w:p>
            <w:r/>
            <w:r>
              <w:rPr>
                <w:sz w:val="17"/>
              </w:rPr>
              <w:t>Automatic</w:t>
            </w:r>
          </w:p>
        </w:tc>
        <w:tc>
          <w:tcPr>
            <w:tcW w:type="dxa" w:w="3456"/>
          </w:tcPr>
          <w:p>
            <w:r/>
            <w:r>
              <w:rPr>
                <w:sz w:val="17"/>
              </w:rPr>
              <w:t>Templated, fed by branch-locator.json.</w:t>
            </w:r>
          </w:p>
        </w:tc>
      </w:tr>
      <w:tr>
        <w:tc>
          <w:tcPr>
            <w:tcW w:type="dxa" w:w="2880"/>
          </w:tcPr>
          <w:p>
            <w:r/>
            <w:r>
              <w:rPr>
                <w:sz w:val="17"/>
              </w:rPr>
              <w:t>Branch-Locator root (with map)</w:t>
            </w:r>
          </w:p>
        </w:tc>
        <w:tc>
          <w:tcPr>
            <w:tcW w:type="dxa" w:w="1152"/>
          </w:tcPr>
          <w:p>
            <w:r/>
            <w:r>
              <w:rPr>
                <w:sz w:val="17"/>
              </w:rPr>
              <w:t>1</w:t>
            </w:r>
          </w:p>
        </w:tc>
        <w:tc>
          <w:tcPr>
            <w:tcW w:type="dxa" w:w="2304"/>
          </w:tcPr>
          <w:p>
            <w:r/>
            <w:r>
              <w:rPr>
                <w:sz w:val="17"/>
              </w:rPr>
              <w:t>Manual</w:t>
            </w:r>
          </w:p>
        </w:tc>
        <w:tc>
          <w:tcPr>
            <w:tcW w:type="dxa" w:w="3456"/>
          </w:tcPr>
          <w:p>
            <w:r/>
            <w:r>
              <w:rPr>
                <w:sz w:val="17"/>
              </w:rPr>
              <w:t>Hosts interactive Google Maps + dropdown logic.</w:t>
            </w:r>
          </w:p>
        </w:tc>
      </w:tr>
      <w:tr>
        <w:tc>
          <w:tcPr>
            <w:tcW w:type="dxa" w:w="2880"/>
          </w:tcPr>
          <w:p>
            <w:r/>
            <w:r>
              <w:rPr>
                <w:sz w:val="17"/>
              </w:rPr>
              <w:t>Loan Product Pages</w:t>
            </w:r>
          </w:p>
        </w:tc>
        <w:tc>
          <w:tcPr>
            <w:tcW w:type="dxa" w:w="1152"/>
          </w:tcPr>
          <w:p>
            <w:r/>
            <w:r>
              <w:rPr>
                <w:sz w:val="17"/>
              </w:rPr>
              <w:t>182</w:t>
            </w:r>
          </w:p>
        </w:tc>
        <w:tc>
          <w:tcPr>
            <w:tcW w:type="dxa" w:w="2304"/>
          </w:tcPr>
          <w:p>
            <w:r/>
            <w:r>
              <w:rPr>
                <w:sz w:val="17"/>
              </w:rPr>
              <w:t>Manual (assisted)</w:t>
            </w:r>
          </w:p>
        </w:tc>
        <w:tc>
          <w:tcPr>
            <w:tcW w:type="dxa" w:w="3456"/>
          </w:tcPr>
          <w:p>
            <w:r/>
            <w:r>
              <w:rPr>
                <w:sz w:val="17"/>
              </w:rPr>
              <w:t>Rich blocks, calculators, forms, FAQ schema, per-page SEO content.</w:t>
            </w:r>
          </w:p>
        </w:tc>
      </w:tr>
      <w:tr>
        <w:tc>
          <w:tcPr>
            <w:tcW w:type="dxa" w:w="2880"/>
          </w:tcPr>
          <w:p>
            <w:r/>
            <w:r>
              <w:rPr>
                <w:sz w:val="17"/>
              </w:rPr>
              <w:t>Calculator Pages</w:t>
            </w:r>
          </w:p>
        </w:tc>
        <w:tc>
          <w:tcPr>
            <w:tcW w:type="dxa" w:w="1152"/>
          </w:tcPr>
          <w:p>
            <w:r/>
            <w:r>
              <w:rPr>
                <w:sz w:val="17"/>
              </w:rPr>
              <w:t>12</w:t>
            </w:r>
          </w:p>
        </w:tc>
        <w:tc>
          <w:tcPr>
            <w:tcW w:type="dxa" w:w="2304"/>
          </w:tcPr>
          <w:p>
            <w:r/>
            <w:r>
              <w:rPr>
                <w:sz w:val="17"/>
              </w:rPr>
              <w:t>Manual</w:t>
            </w:r>
          </w:p>
        </w:tc>
        <w:tc>
          <w:tcPr>
            <w:tcW w:type="dxa" w:w="3456"/>
          </w:tcPr>
          <w:p>
            <w:r/>
            <w:r>
              <w:rPr>
                <w:sz w:val="17"/>
              </w:rPr>
              <w:t>Interactive client-side logic + JSON config; functional testing needed.</w:t>
            </w:r>
          </w:p>
        </w:tc>
      </w:tr>
      <w:tr>
        <w:tc>
          <w:tcPr>
            <w:tcW w:type="dxa" w:w="2880"/>
          </w:tcPr>
          <w:p>
            <w:r/>
            <w:r>
              <w:rPr>
                <w:sz w:val="17"/>
              </w:rPr>
              <w:t>About-Us (incl. 49 board bios)</w:t>
            </w:r>
          </w:p>
        </w:tc>
        <w:tc>
          <w:tcPr>
            <w:tcW w:type="dxa" w:w="1152"/>
          </w:tcPr>
          <w:p>
            <w:r/>
            <w:r>
              <w:rPr>
                <w:sz w:val="17"/>
              </w:rPr>
              <w:t>88</w:t>
            </w:r>
          </w:p>
        </w:tc>
        <w:tc>
          <w:tcPr>
            <w:tcW w:type="dxa" w:w="2304"/>
          </w:tcPr>
          <w:p>
            <w:r/>
            <w:r>
              <w:rPr>
                <w:sz w:val="17"/>
              </w:rPr>
              <w:t>Automatic (assisted)</w:t>
            </w:r>
          </w:p>
        </w:tc>
        <w:tc>
          <w:tcPr>
            <w:tcW w:type="dxa" w:w="3456"/>
          </w:tcPr>
          <w:p>
            <w:r/>
            <w:r>
              <w:rPr>
                <w:sz w:val="17"/>
              </w:rPr>
              <w:t>Mostly structured bio/content pages; bios are templated.</w:t>
            </w:r>
          </w:p>
        </w:tc>
      </w:tr>
      <w:tr>
        <w:tc>
          <w:tcPr>
            <w:tcW w:type="dxa" w:w="2880"/>
          </w:tcPr>
          <w:p>
            <w:r/>
            <w:r>
              <w:rPr>
                <w:sz w:val="17"/>
              </w:rPr>
              <w:t>Investor / Stakeholder / Corporate</w:t>
            </w:r>
          </w:p>
        </w:tc>
        <w:tc>
          <w:tcPr>
            <w:tcW w:type="dxa" w:w="1152"/>
          </w:tcPr>
          <w:p>
            <w:r/>
            <w:r>
              <w:rPr>
                <w:sz w:val="17"/>
              </w:rPr>
              <w:t>57</w:t>
            </w:r>
          </w:p>
        </w:tc>
        <w:tc>
          <w:tcPr>
            <w:tcW w:type="dxa" w:w="2304"/>
          </w:tcPr>
          <w:p>
            <w:r/>
            <w:r>
              <w:rPr>
                <w:sz w:val="17"/>
              </w:rPr>
              <w:t>Manual (assisted)</w:t>
            </w:r>
          </w:p>
        </w:tc>
        <w:tc>
          <w:tcPr>
            <w:tcW w:type="dxa" w:w="3456"/>
          </w:tcPr>
          <w:p>
            <w:r/>
            <w:r>
              <w:rPr>
                <w:sz w:val="17"/>
              </w:rPr>
              <w:t>Document-heavy, tables, PDFs, tabbed disclosures.</w:t>
            </w:r>
          </w:p>
        </w:tc>
      </w:tr>
      <w:tr>
        <w:tc>
          <w:tcPr>
            <w:tcW w:type="dxa" w:w="2880"/>
          </w:tcPr>
          <w:p>
            <w:r/>
            <w:r>
              <w:rPr>
                <w:sz w:val="17"/>
              </w:rPr>
              <w:t>Legal / Policy (static content)</w:t>
            </w:r>
          </w:p>
        </w:tc>
        <w:tc>
          <w:tcPr>
            <w:tcW w:type="dxa" w:w="1152"/>
          </w:tcPr>
          <w:p>
            <w:r/>
            <w:r>
              <w:rPr>
                <w:sz w:val="17"/>
              </w:rPr>
              <w:t>15</w:t>
            </w:r>
          </w:p>
        </w:tc>
        <w:tc>
          <w:tcPr>
            <w:tcW w:type="dxa" w:w="2304"/>
          </w:tcPr>
          <w:p>
            <w:r/>
            <w:r>
              <w:rPr>
                <w:sz w:val="17"/>
              </w:rPr>
              <w:t>Automatic</w:t>
            </w:r>
          </w:p>
        </w:tc>
        <w:tc>
          <w:tcPr>
            <w:tcW w:type="dxa" w:w="3456"/>
          </w:tcPr>
          <w:p>
            <w:r/>
            <w:r>
              <w:rPr>
                <w:sz w:val="17"/>
              </w:rPr>
              <w:t>Long-form rich text, minimal interactivity.</w:t>
            </w:r>
          </w:p>
        </w:tc>
      </w:tr>
      <w:tr>
        <w:tc>
          <w:tcPr>
            <w:tcW w:type="dxa" w:w="2880"/>
          </w:tcPr>
          <w:p>
            <w:r/>
            <w:r>
              <w:rPr>
                <w:sz w:val="17"/>
              </w:rPr>
              <w:t>Media / News</w:t>
            </w:r>
          </w:p>
        </w:tc>
        <w:tc>
          <w:tcPr>
            <w:tcW w:type="dxa" w:w="1152"/>
          </w:tcPr>
          <w:p>
            <w:r/>
            <w:r>
              <w:rPr>
                <w:sz w:val="17"/>
              </w:rPr>
              <w:t>5</w:t>
            </w:r>
          </w:p>
        </w:tc>
        <w:tc>
          <w:tcPr>
            <w:tcW w:type="dxa" w:w="2304"/>
          </w:tcPr>
          <w:p>
            <w:r/>
            <w:r>
              <w:rPr>
                <w:sz w:val="17"/>
              </w:rPr>
              <w:t>Automatic</w:t>
            </w:r>
          </w:p>
        </w:tc>
        <w:tc>
          <w:tcPr>
            <w:tcW w:type="dxa" w:w="3456"/>
          </w:tcPr>
          <w:p>
            <w:r/>
            <w:r>
              <w:rPr>
                <w:sz w:val="17"/>
              </w:rPr>
              <w:t>Standardized content layout.</w:t>
            </w:r>
          </w:p>
        </w:tc>
      </w:tr>
      <w:tr>
        <w:tc>
          <w:tcPr>
            <w:tcW w:type="dxa" w:w="2880"/>
          </w:tcPr>
          <w:p>
            <w:r/>
            <w:r>
              <w:rPr>
                <w:sz w:val="17"/>
              </w:rPr>
              <w:t>FAQ / Contact / misc. content</w:t>
            </w:r>
          </w:p>
        </w:tc>
        <w:tc>
          <w:tcPr>
            <w:tcW w:type="dxa" w:w="1152"/>
          </w:tcPr>
          <w:p>
            <w:r/>
            <w:r>
              <w:rPr>
                <w:sz w:val="17"/>
              </w:rPr>
              <w:t>~15</w:t>
            </w:r>
          </w:p>
        </w:tc>
        <w:tc>
          <w:tcPr>
            <w:tcW w:type="dxa" w:w="2304"/>
          </w:tcPr>
          <w:p>
            <w:r/>
            <w:r>
              <w:rPr>
                <w:sz w:val="17"/>
              </w:rPr>
              <w:t>Automatic (assisted)</w:t>
            </w:r>
          </w:p>
        </w:tc>
        <w:tc>
          <w:tcPr>
            <w:tcW w:type="dxa" w:w="3456"/>
          </w:tcPr>
          <w:p>
            <w:r/>
            <w:r>
              <w:rPr>
                <w:sz w:val="17"/>
              </w:rPr>
              <w:t>Accordion + icon-card blocks, standardized.</w:t>
            </w:r>
          </w:p>
        </w:tc>
      </w:tr>
      <w:tr>
        <w:tc>
          <w:tcPr>
            <w:tcW w:type="dxa" w:w="2880"/>
          </w:tcPr>
          <w:p>
            <w:r/>
            <w:r>
              <w:rPr>
                <w:sz w:val="17"/>
              </w:rPr>
              <w:t>MAIN SITE TOTAL</w:t>
            </w:r>
          </w:p>
        </w:tc>
        <w:tc>
          <w:tcPr>
            <w:tcW w:type="dxa" w:w="1152"/>
          </w:tcPr>
          <w:p>
            <w:r/>
            <w:r>
              <w:rPr>
                <w:sz w:val="17"/>
              </w:rPr>
              <w:t>1,563</w:t>
            </w:r>
          </w:p>
        </w:tc>
        <w:tc>
          <w:tcPr>
            <w:tcW w:type="dxa" w:w="2304"/>
          </w:tcPr>
          <w:p>
            <w:r/>
            <w:r>
              <w:rPr>
                <w:sz w:val="17"/>
              </w:rPr>
              <w:t>~80% Automatic</w:t>
            </w:r>
          </w:p>
        </w:tc>
        <w:tc>
          <w:tcPr>
            <w:tcW w:type="dxa" w:w="3456"/>
          </w:tcPr>
          <w:p>
            <w:r/>
            <w:r>
              <w:rPr>
                <w:sz w:val="17"/>
              </w:rPr>
              <w:t>Volume dominated by templated location pages.</w:t>
            </w:r>
          </w:p>
        </w:tc>
      </w:tr>
      <w:tr>
        <w:tc>
          <w:tcPr>
            <w:tcW w:type="dxa" w:w="2880"/>
          </w:tcPr>
          <w:p>
            <w:r/>
            <w:r>
              <w:rPr>
                <w:sz w:val="17"/>
              </w:rPr>
              <w:t>Vidya Blog (WordPress)</w:t>
            </w:r>
          </w:p>
        </w:tc>
        <w:tc>
          <w:tcPr>
            <w:tcW w:type="dxa" w:w="1152"/>
          </w:tcPr>
          <w:p>
            <w:r/>
            <w:r>
              <w:rPr>
                <w:sz w:val="17"/>
              </w:rPr>
              <w:t>3,160</w:t>
            </w:r>
          </w:p>
        </w:tc>
        <w:tc>
          <w:tcPr>
            <w:tcW w:type="dxa" w:w="2304"/>
          </w:tcPr>
          <w:p>
            <w:r/>
            <w:r>
              <w:rPr>
                <w:sz w:val="17"/>
              </w:rPr>
              <w:t>Manual (assisted)</w:t>
            </w:r>
          </w:p>
        </w:tc>
        <w:tc>
          <w:tcPr>
            <w:tcW w:type="dxa" w:w="3456"/>
          </w:tcPr>
          <w:p>
            <w:r/>
            <w:r>
              <w:rPr>
                <w:sz w:val="17"/>
              </w:rPr>
              <w:t>Cross-platform extraction from WordPress; map to EDS blog template; preserve SEO/redirects.</w:t>
            </w:r>
          </w:p>
        </w:tc>
      </w:tr>
      <w:tr>
        <w:tc>
          <w:tcPr>
            <w:tcW w:type="dxa" w:w="2880"/>
          </w:tcPr>
          <w:p>
            <w:r/>
            <w:r>
              <w:rPr>
                <w:sz w:val="17"/>
              </w:rPr>
              <w:t>GRAND TOTAL</w:t>
            </w:r>
          </w:p>
        </w:tc>
        <w:tc>
          <w:tcPr>
            <w:tcW w:type="dxa" w:w="1152"/>
          </w:tcPr>
          <w:p>
            <w:r/>
            <w:r>
              <w:rPr>
                <w:sz w:val="17"/>
              </w:rPr>
              <w:t>~4,723</w:t>
            </w:r>
          </w:p>
        </w:tc>
        <w:tc>
          <w:tcPr>
            <w:tcW w:type="dxa" w:w="2304"/>
          </w:tcPr>
          <w:p>
            <w:r/>
            <w:r>
              <w:rPr>
                <w:sz w:val="17"/>
              </w:rPr>
              <w:t>—</w:t>
            </w:r>
          </w:p>
        </w:tc>
        <w:tc>
          <w:tcPr>
            <w:tcW w:type="dxa" w:w="3456"/>
          </w:tcPr>
          <w:p>
            <w:r/>
            <w:r>
              <w:rPr>
                <w:sz w:val="17"/>
              </w:rPr>
              <w:t>—</w:t>
            </w:r>
          </w:p>
        </w:tc>
      </w:tr>
    </w:tbl>
    <w:p/>
    <w:p>
      <w:r>
        <w:rPr>
          <w:i/>
          <w:sz w:val="21"/>
        </w:rPr>
        <w:t>Note: category subtotals are approximate where URL patterns overlap; the dominant Branch-Locator family (1,189 URLs) is automation-friendly, which materially de-risks the main-site migration effort.</w:t>
      </w:r>
    </w:p>
    <w:p>
      <w:r>
        <w:br w:type="page"/>
      </w:r>
    </w:p>
    <w:p>
      <w:pPr>
        <w:pBdr>
          <w:bottom w:val="single" w:sz="6" w:space="1" w:color="E85A28"/>
        </w:pBdr>
      </w:pPr>
      <w:r>
        <w:rPr>
          <w:b/>
          <w:color w:val="123A5E"/>
          <w:sz w:val="32"/>
        </w:rPr>
        <w:t>4. Integrations Analysis</w:t>
      </w:r>
    </w:p>
    <w:p>
      <w:r>
        <w:rPr>
          <w:i w:val="0"/>
          <w:sz w:val="21"/>
        </w:rPr>
        <w:t>Integrations were identified from the Content-Security-Policy header, delayed.js (martech loader), inline scripts, and API endpoints referenced in the markup.</w:t>
      </w:r>
    </w:p>
    <w:p>
      <w:r>
        <w:rPr>
          <w:b/>
          <w:color w:val="E85A28"/>
          <w:sz w:val="25"/>
        </w:rPr>
        <w:t>4.1 Analytics, Marketing &amp; Tag Management</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3312"/>
            <w:shd w:val="clear" w:color="auto" w:fill="123A5E"/>
          </w:tcPr>
          <w:p>
            <w:r/>
            <w:r>
              <w:rPr>
                <w:b/>
                <w:color w:val="FFFFFF"/>
                <w:sz w:val="17"/>
              </w:rPr>
              <w:t>Integration</w:t>
            </w:r>
          </w:p>
        </w:tc>
        <w:tc>
          <w:tcPr>
            <w:tcW w:type="dxa" w:w="1728"/>
            <w:shd w:val="clear" w:color="auto" w:fill="123A5E"/>
          </w:tcPr>
          <w:p>
            <w:r/>
            <w:r>
              <w:rPr>
                <w:b/>
                <w:color w:val="FFFFFF"/>
                <w:sz w:val="17"/>
              </w:rPr>
              <w:t>Type</w:t>
            </w:r>
          </w:p>
        </w:tc>
        <w:tc>
          <w:tcPr>
            <w:tcW w:type="dxa" w:w="864"/>
            <w:shd w:val="clear" w:color="auto" w:fill="123A5E"/>
          </w:tcPr>
          <w:p>
            <w:r/>
            <w:r>
              <w:rPr>
                <w:b/>
                <w:color w:val="FFFFFF"/>
                <w:sz w:val="17"/>
              </w:rPr>
              <w:t>Cx</w:t>
            </w:r>
          </w:p>
        </w:tc>
        <w:tc>
          <w:tcPr>
            <w:tcW w:type="dxa" w:w="3888"/>
            <w:shd w:val="clear" w:color="auto" w:fill="123A5E"/>
          </w:tcPr>
          <w:p>
            <w:r/>
            <w:r>
              <w:rPr>
                <w:b/>
                <w:color w:val="FFFFFF"/>
                <w:sz w:val="17"/>
              </w:rPr>
              <w:t>Where used / Notes</w:t>
            </w:r>
          </w:p>
        </w:tc>
      </w:tr>
      <w:tr>
        <w:tc>
          <w:tcPr>
            <w:tcW w:type="dxa" w:w="3312"/>
          </w:tcPr>
          <w:p>
            <w:r/>
            <w:r>
              <w:rPr>
                <w:sz w:val="17"/>
              </w:rPr>
              <w:t>Google Tag Manager (GTM-T5MTVQ9)</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Site-wide via delayed.js; container ID confirmed.</w:t>
            </w:r>
          </w:p>
        </w:tc>
      </w:tr>
      <w:tr>
        <w:tc>
          <w:tcPr>
            <w:tcW w:type="dxa" w:w="3312"/>
          </w:tcPr>
          <w:p>
            <w:r/>
            <w:r>
              <w:rPr>
                <w:sz w:val="17"/>
              </w:rPr>
              <w:t>Google Analytics</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Via GTM; www.google-analytics.com in CSP.</w:t>
            </w:r>
          </w:p>
        </w:tc>
      </w:tr>
      <w:tr>
        <w:tc>
          <w:tcPr>
            <w:tcW w:type="dxa" w:w="3312"/>
          </w:tcPr>
          <w:p>
            <w:r/>
            <w:r>
              <w:rPr>
                <w:sz w:val="17"/>
              </w:rPr>
              <w:t>Adobe Experience Cloud (Adobe DTM / Target / Audience)</w:t>
            </w:r>
          </w:p>
        </w:tc>
        <w:tc>
          <w:tcPr>
            <w:tcW w:type="dxa" w:w="1728"/>
          </w:tcPr>
          <w:p>
            <w:r/>
            <w:r>
              <w:rPr>
                <w:sz w:val="17"/>
              </w:rPr>
              <w:t>Script / API</w:t>
            </w:r>
          </w:p>
        </w:tc>
        <w:tc>
          <w:tcPr>
            <w:tcW w:type="dxa" w:w="864"/>
          </w:tcPr>
          <w:p>
            <w:r/>
            <w:r>
              <w:rPr>
                <w:b/>
                <w:color w:val="B9770E"/>
                <w:sz w:val="17"/>
              </w:rPr>
              <w:t>Medium</w:t>
            </w:r>
          </w:p>
        </w:tc>
        <w:tc>
          <w:tcPr>
            <w:tcW w:type="dxa" w:w="3888"/>
          </w:tcPr>
          <w:p>
            <w:r/>
            <w:r>
              <w:rPr>
                <w:sz w:val="17"/>
              </w:rPr>
              <w:t>assets.adobedtm.com, edge.adobedc.net, demdex (Audience Manager) in CSP.</w:t>
            </w:r>
          </w:p>
        </w:tc>
      </w:tr>
      <w:tr>
        <w:tc>
          <w:tcPr>
            <w:tcW w:type="dxa" w:w="3312"/>
          </w:tcPr>
          <w:p>
            <w:r/>
            <w:r>
              <w:rPr>
                <w:sz w:val="17"/>
              </w:rPr>
              <w:t>MoEngage</w:t>
            </w:r>
          </w:p>
        </w:tc>
        <w:tc>
          <w:tcPr>
            <w:tcW w:type="dxa" w:w="1728"/>
          </w:tcPr>
          <w:p>
            <w:r/>
            <w:r>
              <w:rPr>
                <w:sz w:val="17"/>
              </w:rPr>
              <w:t>Plugin / SDK</w:t>
            </w:r>
          </w:p>
        </w:tc>
        <w:tc>
          <w:tcPr>
            <w:tcW w:type="dxa" w:w="864"/>
          </w:tcPr>
          <w:p>
            <w:r/>
            <w:r>
              <w:rPr>
                <w:b/>
                <w:color w:val="B9770E"/>
                <w:sz w:val="17"/>
              </w:rPr>
              <w:t>Medium</w:t>
            </w:r>
          </w:p>
        </w:tc>
        <w:tc>
          <w:tcPr>
            <w:tcW w:type="dxa" w:w="3888"/>
          </w:tcPr>
          <w:p>
            <w:r/>
            <w:r>
              <w:rPr>
                <w:sz w:val="17"/>
              </w:rPr>
              <w:t>Customer engagement / push; app_id + SDK loaded in delayed.js; cdn.moengage.com.</w:t>
            </w:r>
          </w:p>
        </w:tc>
      </w:tr>
      <w:tr>
        <w:tc>
          <w:tcPr>
            <w:tcW w:type="dxa" w:w="3312"/>
          </w:tcPr>
          <w:p>
            <w:r/>
            <w:r>
              <w:rPr>
                <w:sz w:val="17"/>
              </w:rPr>
              <w:t>Microsoft Clarity</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Session replay / heatmaps; *.clarity.ms in CSP.</w:t>
            </w:r>
          </w:p>
        </w:tc>
      </w:tr>
      <w:tr>
        <w:tc>
          <w:tcPr>
            <w:tcW w:type="dxa" w:w="3312"/>
          </w:tcPr>
          <w:p>
            <w:r/>
            <w:r>
              <w:rPr>
                <w:sz w:val="17"/>
              </w:rPr>
              <w:t>Bing Ads (UET)</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bat.bing.com conversion tracking.</w:t>
            </w:r>
          </w:p>
        </w:tc>
      </w:tr>
      <w:tr>
        <w:tc>
          <w:tcPr>
            <w:tcW w:type="dxa" w:w="3312"/>
          </w:tcPr>
          <w:p>
            <w:r/>
            <w:r>
              <w:rPr>
                <w:sz w:val="17"/>
              </w:rPr>
              <w:t>Google Ads / DoubleClick / Floodlight</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*.doubleclick.net, googleadservices, fls.doubleclick floodlight.</w:t>
            </w:r>
          </w:p>
        </w:tc>
      </w:tr>
      <w:tr>
        <w:tc>
          <w:tcPr>
            <w:tcW w:type="dxa" w:w="3312"/>
          </w:tcPr>
          <w:p>
            <w:r/>
            <w:r>
              <w:rPr>
                <w:sz w:val="17"/>
              </w:rPr>
              <w:t>Facebook Pixel</w:t>
            </w:r>
          </w:p>
        </w:tc>
        <w:tc>
          <w:tcPr>
            <w:tcW w:type="dxa" w:w="1728"/>
          </w:tcPr>
          <w:p>
            <w:r/>
            <w:r>
              <w:rPr>
                <w:sz w:val="17"/>
              </w:rPr>
              <w:t>Embed / Script</w:t>
            </w:r>
          </w:p>
        </w:tc>
        <w:tc>
          <w:tcPr>
            <w:tcW w:type="dxa" w:w="864"/>
          </w:tcPr>
          <w:p>
            <w:r/>
            <w:r>
              <w:rPr>
                <w:b/>
                <w:color w:val="1E8249"/>
                <w:sz w:val="17"/>
              </w:rPr>
              <w:t>Low</w:t>
            </w:r>
          </w:p>
        </w:tc>
        <w:tc>
          <w:tcPr>
            <w:tcW w:type="dxa" w:w="3888"/>
          </w:tcPr>
          <w:p>
            <w:r/>
            <w:r>
              <w:rPr>
                <w:sz w:val="17"/>
              </w:rPr>
              <w:t>connect.facebook.net in CSP.</w:t>
            </w:r>
          </w:p>
        </w:tc>
      </w:tr>
    </w:tbl>
    <w:p/>
    <w:p>
      <w:r>
        <w:rPr>
          <w:b/>
          <w:color w:val="E85A28"/>
          <w:sz w:val="25"/>
        </w:rPr>
        <w:t>4.2 Functional &amp; Enterprise Integrations (APIs / Services)</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880"/>
            <w:shd w:val="clear" w:color="auto" w:fill="123A5E"/>
          </w:tcPr>
          <w:p>
            <w:r/>
            <w:r>
              <w:rPr>
                <w:b/>
                <w:color w:val="FFFFFF"/>
                <w:sz w:val="17"/>
              </w:rPr>
              <w:t>Integration</w:t>
            </w:r>
          </w:p>
        </w:tc>
        <w:tc>
          <w:tcPr>
            <w:tcW w:type="dxa" w:w="2016"/>
            <w:shd w:val="clear" w:color="auto" w:fill="123A5E"/>
          </w:tcPr>
          <w:p>
            <w:r/>
            <w:r>
              <w:rPr>
                <w:b/>
                <w:color w:val="FFFFFF"/>
                <w:sz w:val="17"/>
              </w:rPr>
              <w:t>Type</w:t>
            </w:r>
          </w:p>
        </w:tc>
        <w:tc>
          <w:tcPr>
            <w:tcW w:type="dxa" w:w="864"/>
            <w:shd w:val="clear" w:color="auto" w:fill="123A5E"/>
          </w:tcPr>
          <w:p>
            <w:r/>
            <w:r>
              <w:rPr>
                <w:b/>
                <w:color w:val="FFFFFF"/>
                <w:sz w:val="17"/>
              </w:rPr>
              <w:t>Cx</w:t>
            </w:r>
          </w:p>
        </w:tc>
        <w:tc>
          <w:tcPr>
            <w:tcW w:type="dxa" w:w="4032"/>
            <w:shd w:val="clear" w:color="auto" w:fill="123A5E"/>
          </w:tcPr>
          <w:p>
            <w:r/>
            <w:r>
              <w:rPr>
                <w:b/>
                <w:color w:val="FFFFFF"/>
                <w:sz w:val="17"/>
              </w:rPr>
              <w:t>Reference / Endpoint</w:t>
            </w:r>
          </w:p>
        </w:tc>
      </w:tr>
      <w:tr>
        <w:tc>
          <w:tcPr>
            <w:tcW w:type="dxa" w:w="2880"/>
          </w:tcPr>
          <w:p>
            <w:r/>
            <w:r>
              <w:rPr>
                <w:sz w:val="17"/>
              </w:rPr>
              <w:t>Loan Application / Lead Capture</w:t>
            </w:r>
          </w:p>
        </w:tc>
        <w:tc>
          <w:tcPr>
            <w:tcW w:type="dxa" w:w="2016"/>
          </w:tcPr>
          <w:p>
            <w:r/>
            <w:r>
              <w:rPr>
                <w:sz w:val="17"/>
              </w:rPr>
              <w:t>Custom code / REST API</w:t>
            </w:r>
          </w:p>
        </w:tc>
        <w:tc>
          <w:tcPr>
            <w:tcW w:type="dxa" w:w="864"/>
          </w:tcPr>
          <w:p>
            <w:r/>
            <w:r>
              <w:rPr>
                <w:b/>
                <w:color w:val="C0392B"/>
                <w:sz w:val="17"/>
              </w:rPr>
              <w:t>High</w:t>
            </w:r>
          </w:p>
        </w:tc>
        <w:tc>
          <w:tcPr>
            <w:tcW w:type="dxa" w:w="4032"/>
          </w:tcPr>
          <w:p>
            <w:r/>
            <w:r>
              <w:rPr>
                <w:sz w:val="17"/>
              </w:rPr>
              <w:t>/api/apply-form-loan.json; applyloanform block; routes to /loan/login (customer login app).</w:t>
            </w:r>
          </w:p>
        </w:tc>
      </w:tr>
      <w:tr>
        <w:tc>
          <w:tcPr>
            <w:tcW w:type="dxa" w:w="2880"/>
          </w:tcPr>
          <w:p>
            <w:r/>
            <w:r>
              <w:rPr>
                <w:sz w:val="17"/>
              </w:rPr>
              <w:t>EMI &amp; Eligibility Calculators</w:t>
            </w:r>
          </w:p>
        </w:tc>
        <w:tc>
          <w:tcPr>
            <w:tcW w:type="dxa" w:w="2016"/>
          </w:tcPr>
          <w:p>
            <w:r/>
            <w:r>
              <w:rPr>
                <w:sz w:val="17"/>
              </w:rPr>
              <w:t>Custom code / REST API</w:t>
            </w:r>
          </w:p>
        </w:tc>
        <w:tc>
          <w:tcPr>
            <w:tcW w:type="dxa" w:w="864"/>
          </w:tcPr>
          <w:p>
            <w:r/>
            <w:r>
              <w:rPr>
                <w:b/>
                <w:color w:val="C0392B"/>
                <w:sz w:val="17"/>
              </w:rPr>
              <w:t>High</w:t>
            </w:r>
          </w:p>
        </w:tc>
        <w:tc>
          <w:tcPr>
            <w:tcW w:type="dxa" w:w="4032"/>
          </w:tcPr>
          <w:p>
            <w:r/>
            <w:r>
              <w:rPr>
                <w:sz w:val="17"/>
              </w:rPr>
              <w:t>/api/personal-loan-emi-calculator.json, /api/homepage-emi-calculator.json, /api/homepage-eligibility-calculator.json, /api/business-loan-combined-calculator.json.</w:t>
            </w:r>
          </w:p>
        </w:tc>
      </w:tr>
      <w:tr>
        <w:tc>
          <w:tcPr>
            <w:tcW w:type="dxa" w:w="2880"/>
          </w:tcPr>
          <w:p>
            <w:r/>
            <w:r>
              <w:rPr>
                <w:sz w:val="17"/>
              </w:rPr>
              <w:t>Branch Locator service</w:t>
            </w:r>
          </w:p>
        </w:tc>
        <w:tc>
          <w:tcPr>
            <w:tcW w:type="dxa" w:w="2016"/>
          </w:tcPr>
          <w:p>
            <w:r/>
            <w:r>
              <w:rPr>
                <w:sz w:val="17"/>
              </w:rPr>
              <w:t>REST API</w:t>
            </w:r>
          </w:p>
        </w:tc>
        <w:tc>
          <w:tcPr>
            <w:tcW w:type="dxa" w:w="864"/>
          </w:tcPr>
          <w:p>
            <w:r/>
            <w:r>
              <w:rPr>
                <w:b/>
                <w:color w:val="B9770E"/>
                <w:sz w:val="17"/>
              </w:rPr>
              <w:t>Medium</w:t>
            </w:r>
          </w:p>
        </w:tc>
        <w:tc>
          <w:tcPr>
            <w:tcW w:type="dxa" w:w="4032"/>
          </w:tcPr>
          <w:p>
            <w:r/>
            <w:r>
              <w:rPr>
                <w:sz w:val="17"/>
              </w:rPr>
              <w:t>/api/branch-locator.json feeds dropdowns + map.</w:t>
            </w:r>
          </w:p>
        </w:tc>
      </w:tr>
      <w:tr>
        <w:tc>
          <w:tcPr>
            <w:tcW w:type="dxa" w:w="2880"/>
          </w:tcPr>
          <w:p>
            <w:r/>
            <w:r>
              <w:rPr>
                <w:sz w:val="17"/>
              </w:rPr>
              <w:t>Google Maps Platform</w:t>
            </w:r>
          </w:p>
        </w:tc>
        <w:tc>
          <w:tcPr>
            <w:tcW w:type="dxa" w:w="2016"/>
          </w:tcPr>
          <w:p>
            <w:r/>
            <w:r>
              <w:rPr>
                <w:sz w:val="17"/>
              </w:rPr>
              <w:t>API / Embed</w:t>
            </w:r>
          </w:p>
        </w:tc>
        <w:tc>
          <w:tcPr>
            <w:tcW w:type="dxa" w:w="864"/>
          </w:tcPr>
          <w:p>
            <w:r/>
            <w:r>
              <w:rPr>
                <w:b/>
                <w:color w:val="B9770E"/>
                <w:sz w:val="17"/>
              </w:rPr>
              <w:t>Medium</w:t>
            </w:r>
          </w:p>
        </w:tc>
        <w:tc>
          <w:tcPr>
            <w:tcW w:type="dxa" w:w="4032"/>
          </w:tcPr>
          <w:p>
            <w:r/>
            <w:r>
              <w:rPr>
                <w:sz w:val="17"/>
              </w:rPr>
              <w:t>maps.googleapis.com / maps.gstatic.com on locator &amp; contact pages.</w:t>
            </w:r>
          </w:p>
        </w:tc>
      </w:tr>
      <w:tr>
        <w:tc>
          <w:tcPr>
            <w:tcW w:type="dxa" w:w="2880"/>
          </w:tcPr>
          <w:p>
            <w:r/>
            <w:r>
              <w:rPr>
                <w:sz w:val="17"/>
              </w:rPr>
              <w:t>Customer Login / Servicing portal</w:t>
            </w:r>
          </w:p>
        </w:tc>
        <w:tc>
          <w:tcPr>
            <w:tcW w:type="dxa" w:w="2016"/>
          </w:tcPr>
          <w:p>
            <w:r/>
            <w:r>
              <w:rPr>
                <w:sz w:val="17"/>
              </w:rPr>
              <w:t>Embed / External app</w:t>
            </w:r>
          </w:p>
        </w:tc>
        <w:tc>
          <w:tcPr>
            <w:tcW w:type="dxa" w:w="864"/>
          </w:tcPr>
          <w:p>
            <w:r/>
            <w:r>
              <w:rPr>
                <w:b/>
                <w:color w:val="C0392B"/>
                <w:sz w:val="17"/>
              </w:rPr>
              <w:t>High</w:t>
            </w:r>
          </w:p>
        </w:tc>
        <w:tc>
          <w:tcPr>
            <w:tcW w:type="dxa" w:w="4032"/>
          </w:tcPr>
          <w:p>
            <w:r/>
            <w:r>
              <w:rPr>
                <w:sz w:val="17"/>
              </w:rPr>
              <w:t>/loan/login (returns 406 to bots — gated app); existing-customer servicing.</w:t>
            </w:r>
          </w:p>
        </w:tc>
      </w:tr>
      <w:tr>
        <w:tc>
          <w:tcPr>
            <w:tcW w:type="dxa" w:w="2880"/>
          </w:tcPr>
          <w:p>
            <w:r/>
            <w:r>
              <w:rPr>
                <w:sz w:val="17"/>
              </w:rPr>
              <w:t>Enterprise backend APIs</w:t>
            </w:r>
          </w:p>
        </w:tc>
        <w:tc>
          <w:tcPr>
            <w:tcW w:type="dxa" w:w="2016"/>
          </w:tcPr>
          <w:p>
            <w:r/>
            <w:r>
              <w:rPr>
                <w:sz w:val="17"/>
              </w:rPr>
              <w:t>REST API</w:t>
            </w:r>
          </w:p>
        </w:tc>
        <w:tc>
          <w:tcPr>
            <w:tcW w:type="dxa" w:w="864"/>
          </w:tcPr>
          <w:p>
            <w:r/>
            <w:r>
              <w:rPr>
                <w:b/>
                <w:color w:val="C0392B"/>
                <w:sz w:val="17"/>
              </w:rPr>
              <w:t>High</w:t>
            </w:r>
          </w:p>
        </w:tc>
        <w:tc>
          <w:tcPr>
            <w:tcW w:type="dxa" w:w="4032"/>
          </w:tcPr>
          <w:p>
            <w:r/>
            <w:r>
              <w:rPr>
                <w:sz w:val="17"/>
              </w:rPr>
              <w:t>mobileapi.pchf.in, apisit.piramal.com, campaignapi.piramalfinance.com (CSP connect-src) — core lending/campaign systems.</w:t>
            </w:r>
          </w:p>
        </w:tc>
      </w:tr>
      <w:tr>
        <w:tc>
          <w:tcPr>
            <w:tcW w:type="dxa" w:w="2880"/>
          </w:tcPr>
          <w:p>
            <w:r/>
            <w:r>
              <w:rPr>
                <w:sz w:val="17"/>
              </w:rPr>
              <w:t>AllinCall (call/voice)</w:t>
            </w:r>
          </w:p>
        </w:tc>
        <w:tc>
          <w:tcPr>
            <w:tcW w:type="dxa" w:w="2016"/>
          </w:tcPr>
          <w:p>
            <w:r/>
            <w:r>
              <w:rPr>
                <w:sz w:val="17"/>
              </w:rPr>
              <w:t>API / Embed</w:t>
            </w:r>
          </w:p>
        </w:tc>
        <w:tc>
          <w:tcPr>
            <w:tcW w:type="dxa" w:w="864"/>
          </w:tcPr>
          <w:p>
            <w:r/>
            <w:r>
              <w:rPr>
                <w:b/>
                <w:color w:val="B9770E"/>
                <w:sz w:val="17"/>
              </w:rPr>
              <w:t>Medium</w:t>
            </w:r>
          </w:p>
        </w:tc>
        <w:tc>
          <w:tcPr>
            <w:tcW w:type="dxa" w:w="4032"/>
          </w:tcPr>
          <w:p>
            <w:r/>
            <w:r>
              <w:rPr>
                <w:sz w:val="17"/>
              </w:rPr>
              <w:t>piramal.allincall.in in CSP connect-src.</w:t>
            </w:r>
          </w:p>
        </w:tc>
      </w:tr>
      <w:tr>
        <w:tc>
          <w:tcPr>
            <w:tcW w:type="dxa" w:w="2880"/>
          </w:tcPr>
          <w:p>
            <w:r/>
            <w:r>
              <w:rPr>
                <w:sz w:val="17"/>
              </w:rPr>
              <w:t>WhatsApp Business</w:t>
            </w:r>
          </w:p>
        </w:tc>
        <w:tc>
          <w:tcPr>
            <w:tcW w:type="dxa" w:w="2016"/>
          </w:tcPr>
          <w:p>
            <w:r/>
            <w:r>
              <w:rPr>
                <w:sz w:val="17"/>
              </w:rPr>
              <w:t>Embed / Deep link</w:t>
            </w:r>
          </w:p>
        </w:tc>
        <w:tc>
          <w:tcPr>
            <w:tcW w:type="dxa" w:w="864"/>
          </w:tcPr>
          <w:p>
            <w:r/>
            <w:r>
              <w:rPr>
                <w:b/>
                <w:color w:val="1E8249"/>
                <w:sz w:val="17"/>
              </w:rPr>
              <w:t>Low</w:t>
            </w:r>
          </w:p>
        </w:tc>
        <w:tc>
          <w:tcPr>
            <w:tcW w:type="dxa" w:w="4032"/>
          </w:tcPr>
          <w:p>
            <w:r/>
            <w:r>
              <w:rPr>
                <w:sz w:val="17"/>
              </w:rPr>
              <w:t>api.whatsapp.com + WhatsApp QR on contact-us.</w:t>
            </w:r>
          </w:p>
        </w:tc>
      </w:tr>
      <w:tr>
        <w:tc>
          <w:tcPr>
            <w:tcW w:type="dxa" w:w="2880"/>
          </w:tcPr>
          <w:p>
            <w:r/>
            <w:r>
              <w:rPr>
                <w:sz w:val="17"/>
              </w:rPr>
              <w:t>YouTube</w:t>
            </w:r>
          </w:p>
        </w:tc>
        <w:tc>
          <w:tcPr>
            <w:tcW w:type="dxa" w:w="2016"/>
          </w:tcPr>
          <w:p>
            <w:r/>
            <w:r>
              <w:rPr>
                <w:sz w:val="17"/>
              </w:rPr>
              <w:t>Embed</w:t>
            </w:r>
          </w:p>
        </w:tc>
        <w:tc>
          <w:tcPr>
            <w:tcW w:type="dxa" w:w="864"/>
          </w:tcPr>
          <w:p>
            <w:r/>
            <w:r>
              <w:rPr>
                <w:b/>
                <w:color w:val="1E8249"/>
                <w:sz w:val="17"/>
              </w:rPr>
              <w:t>Low</w:t>
            </w:r>
          </w:p>
        </w:tc>
        <w:tc>
          <w:tcPr>
            <w:tcW w:type="dxa" w:w="4032"/>
          </w:tcPr>
          <w:p>
            <w:r/>
            <w:r>
              <w:rPr>
                <w:sz w:val="17"/>
              </w:rPr>
              <w:t>Embedded product/brand videos (VideoObject schema).</w:t>
            </w:r>
          </w:p>
        </w:tc>
      </w:tr>
      <w:tr>
        <w:tc>
          <w:tcPr>
            <w:tcW w:type="dxa" w:w="2880"/>
          </w:tcPr>
          <w:p>
            <w:r/>
            <w:r>
              <w:rPr>
                <w:sz w:val="17"/>
              </w:rPr>
              <w:t>App Store / Play Store / OneLink</w:t>
            </w:r>
          </w:p>
        </w:tc>
        <w:tc>
          <w:tcPr>
            <w:tcW w:type="dxa" w:w="2016"/>
          </w:tcPr>
          <w:p>
            <w:r/>
            <w:r>
              <w:rPr>
                <w:sz w:val="17"/>
              </w:rPr>
              <w:t>Deep link</w:t>
            </w:r>
          </w:p>
        </w:tc>
        <w:tc>
          <w:tcPr>
            <w:tcW w:type="dxa" w:w="864"/>
          </w:tcPr>
          <w:p>
            <w:r/>
            <w:r>
              <w:rPr>
                <w:b/>
                <w:color w:val="1E8249"/>
                <w:sz w:val="17"/>
              </w:rPr>
              <w:t>Low</w:t>
            </w:r>
          </w:p>
        </w:tc>
        <w:tc>
          <w:tcPr>
            <w:tcW w:type="dxa" w:w="4032"/>
          </w:tcPr>
          <w:p>
            <w:r/>
            <w:r>
              <w:rPr>
                <w:sz w:val="17"/>
              </w:rPr>
              <w:t>App download CTAs (onelink.to).</w:t>
            </w:r>
          </w:p>
        </w:tc>
      </w:tr>
      <w:tr>
        <w:tc>
          <w:tcPr>
            <w:tcW w:type="dxa" w:w="2880"/>
          </w:tcPr>
          <w:p>
            <w:r/>
            <w:r>
              <w:rPr>
                <w:sz w:val="17"/>
              </w:rPr>
              <w:t>Universal Editor (authoring)</w:t>
            </w:r>
          </w:p>
        </w:tc>
        <w:tc>
          <w:tcPr>
            <w:tcW w:type="dxa" w:w="2016"/>
          </w:tcPr>
          <w:p>
            <w:r/>
            <w:r>
              <w:rPr>
                <w:sz w:val="17"/>
              </w:rPr>
              <w:t>Platform service</w:t>
            </w:r>
          </w:p>
        </w:tc>
        <w:tc>
          <w:tcPr>
            <w:tcW w:type="dxa" w:w="864"/>
          </w:tcPr>
          <w:p>
            <w:r/>
            <w:r>
              <w:rPr>
                <w:b/>
                <w:color w:val="B9770E"/>
                <w:sz w:val="17"/>
              </w:rPr>
              <w:t>Medium</w:t>
            </w:r>
          </w:p>
        </w:tc>
        <w:tc>
          <w:tcPr>
            <w:tcW w:type="dxa" w:w="4032"/>
          </w:tcPr>
          <w:p>
            <w:r/>
            <w:r>
              <w:rPr>
                <w:sz w:val="17"/>
              </w:rPr>
              <w:t>universal-editor-service.experiencecloud.live; AEMaaCS author author-p133703-e1305981.adobeaemcloud.com.</w:t>
            </w:r>
          </w:p>
        </w:tc>
      </w:tr>
      <w:tr>
        <w:tc>
          <w:tcPr>
            <w:tcW w:type="dxa" w:w="2880"/>
          </w:tcPr>
          <w:p>
            <w:r/>
            <w:r>
              <w:rPr>
                <w:sz w:val="17"/>
              </w:rPr>
              <w:t>Font Awesome / Bootstrap CDN (blog)</w:t>
            </w:r>
          </w:p>
        </w:tc>
        <w:tc>
          <w:tcPr>
            <w:tcW w:type="dxa" w:w="2016"/>
          </w:tcPr>
          <w:p>
            <w:r/>
            <w:r>
              <w:rPr>
                <w:sz w:val="17"/>
              </w:rPr>
              <w:t>Embed / Library</w:t>
            </w:r>
          </w:p>
        </w:tc>
        <w:tc>
          <w:tcPr>
            <w:tcW w:type="dxa" w:w="864"/>
          </w:tcPr>
          <w:p>
            <w:r/>
            <w:r>
              <w:rPr>
                <w:b/>
                <w:color w:val="1E8249"/>
                <w:sz w:val="17"/>
              </w:rPr>
              <w:t>Low</w:t>
            </w:r>
          </w:p>
        </w:tc>
        <w:tc>
          <w:tcPr>
            <w:tcW w:type="dxa" w:w="4032"/>
          </w:tcPr>
          <w:p>
            <w:r/>
            <w:r>
              <w:rPr>
                <w:sz w:val="17"/>
              </w:rPr>
              <w:t>kit.fontawesome.com, stackpath.bootstrapcdn.com — legacy WordPress blog.</w:t>
            </w:r>
          </w:p>
        </w:tc>
      </w:tr>
    </w:tbl>
    <w:p/>
    <w:p>
      <w:r>
        <w:br w:type="page"/>
      </w:r>
    </w:p>
    <w:p>
      <w:pPr>
        <w:pBdr>
          <w:bottom w:val="single" w:sz="6" w:space="1" w:color="E85A28"/>
        </w:pBdr>
      </w:pPr>
      <w:r>
        <w:rPr>
          <w:b/>
          <w:color w:val="123A5E"/>
          <w:sz w:val="32"/>
        </w:rPr>
        <w:t>5. Complex Use Cases &amp; Observations</w:t>
      </w:r>
    </w:p>
    <w:p>
      <w:r>
        <w:rPr>
          <w:i w:val="0"/>
          <w:sz w:val="21"/>
        </w:rPr>
        <w:t>The following behaviours require special attention, scoping, or functional re-build during migration. Each is quantified by approximate instance count and location.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448"/>
            <w:shd w:val="clear" w:color="auto" w:fill="123A5E"/>
          </w:tcPr>
          <w:p>
            <w:r/>
            <w:r>
              <w:rPr>
                <w:b/>
                <w:color w:val="FFFFFF"/>
                <w:sz w:val="17"/>
              </w:rPr>
              <w:t>Use Case</w:t>
            </w:r>
          </w:p>
        </w:tc>
        <w:tc>
          <w:tcPr>
            <w:tcW w:type="dxa" w:w="1296"/>
            <w:shd w:val="clear" w:color="auto" w:fill="123A5E"/>
          </w:tcPr>
          <w:p>
            <w:r/>
            <w:r>
              <w:rPr>
                <w:b/>
                <w:color w:val="FFFFFF"/>
                <w:sz w:val="17"/>
              </w:rPr>
              <w:t>Instances</w:t>
            </w:r>
          </w:p>
        </w:tc>
        <w:tc>
          <w:tcPr>
            <w:tcW w:type="dxa" w:w="2736"/>
            <w:shd w:val="clear" w:color="auto" w:fill="123A5E"/>
          </w:tcPr>
          <w:p>
            <w:r/>
            <w:r>
              <w:rPr>
                <w:b/>
                <w:color w:val="FFFFFF"/>
                <w:sz w:val="17"/>
              </w:rPr>
              <w:t>Where found</w:t>
            </w:r>
          </w:p>
        </w:tc>
        <w:tc>
          <w:tcPr>
            <w:tcW w:type="dxa" w:w="3312"/>
            <w:shd w:val="clear" w:color="auto" w:fill="123A5E"/>
          </w:tcPr>
          <w:p>
            <w:r/>
            <w:r>
              <w:rPr>
                <w:b/>
                <w:color w:val="FFFFFF"/>
                <w:sz w:val="17"/>
              </w:rPr>
              <w:t>Why complex</w:t>
            </w:r>
          </w:p>
        </w:tc>
      </w:tr>
      <w:tr>
        <w:tc>
          <w:tcPr>
            <w:tcW w:type="dxa" w:w="2448"/>
          </w:tcPr>
          <w:p>
            <w:r/>
            <w:r>
              <w:rPr>
                <w:sz w:val="17"/>
              </w:rPr>
              <w:t>Dual-platform property (EDS + WordPress)</w:t>
            </w:r>
          </w:p>
        </w:tc>
        <w:tc>
          <w:tcPr>
            <w:tcW w:type="dxa" w:w="1296"/>
          </w:tcPr>
          <w:p>
            <w:r/>
            <w:r>
              <w:rPr>
                <w:sz w:val="17"/>
              </w:rPr>
              <w:t>1 (3,160 blog URLs)</w:t>
            </w:r>
          </w:p>
        </w:tc>
        <w:tc>
          <w:tcPr>
            <w:tcW w:type="dxa" w:w="2736"/>
          </w:tcPr>
          <w:p>
            <w:r/>
            <w:r>
              <w:rPr>
                <w:sz w:val="17"/>
              </w:rPr>
              <w:t>/vidya/* on WordPress; rest on EDS</w:t>
            </w:r>
          </w:p>
        </w:tc>
        <w:tc>
          <w:tcPr>
            <w:tcW w:type="dxa" w:w="3312"/>
          </w:tcPr>
          <w:p>
            <w:r/>
            <w:r>
              <w:rPr>
                <w:sz w:val="17"/>
              </w:rPr>
              <w:t>Two CMSs, two markup systems; blog content must be extracted from WordPress and re-modelled into EDS blocks with redirect/SEO preservation.</w:t>
            </w:r>
          </w:p>
        </w:tc>
      </w:tr>
      <w:tr>
        <w:tc>
          <w:tcPr>
            <w:tcW w:type="dxa" w:w="2448"/>
          </w:tcPr>
          <w:p>
            <w:r/>
            <w:r>
              <w:rPr>
                <w:sz w:val="17"/>
              </w:rPr>
              <w:t>Interactive financial calculators</w:t>
            </w:r>
          </w:p>
        </w:tc>
        <w:tc>
          <w:tcPr>
            <w:tcW w:type="dxa" w:w="1296"/>
          </w:tcPr>
          <w:p>
            <w:r/>
            <w:r>
              <w:rPr>
                <w:sz w:val="17"/>
              </w:rPr>
              <w:t>12 dedicated + embedded on product/home</w:t>
            </w:r>
          </w:p>
        </w:tc>
        <w:tc>
          <w:tcPr>
            <w:tcW w:type="dxa" w:w="2736"/>
          </w:tcPr>
          <w:p>
            <w:r/>
            <w:r>
              <w:rPr>
                <w:sz w:val="17"/>
              </w:rPr>
              <w:t>/calculators/*, product pages, homepage</w:t>
            </w:r>
          </w:p>
        </w:tc>
        <w:tc>
          <w:tcPr>
            <w:tcW w:type="dxa" w:w="3312"/>
          </w:tcPr>
          <w:p>
            <w:r/>
            <w:r>
              <w:rPr>
                <w:sz w:val="17"/>
              </w:rPr>
              <w:t>Client-side computation, sliders, datepicker libs, JSON-driven config; require functional re-implementation and QA, not just content move.</w:t>
            </w:r>
          </w:p>
        </w:tc>
      </w:tr>
      <w:tr>
        <w:tc>
          <w:tcPr>
            <w:tcW w:type="dxa" w:w="2448"/>
          </w:tcPr>
          <w:p>
            <w:r/>
            <w:r>
              <w:rPr>
                <w:sz w:val="17"/>
              </w:rPr>
              <w:t>Loan application / lead-capture forms</w:t>
            </w:r>
          </w:p>
        </w:tc>
        <w:tc>
          <w:tcPr>
            <w:tcW w:type="dxa" w:w="1296"/>
          </w:tcPr>
          <w:p>
            <w:r/>
            <w:r>
              <w:rPr>
                <w:sz w:val="17"/>
              </w:rPr>
              <w:t>On all product pages + homepage</w:t>
            </w:r>
          </w:p>
        </w:tc>
        <w:tc>
          <w:tcPr>
            <w:tcW w:type="dxa" w:w="2736"/>
          </w:tcPr>
          <w:p>
            <w:r/>
            <w:r>
              <w:rPr>
                <w:sz w:val="17"/>
              </w:rPr>
              <w:t>applyloanform; /api/apply-form-loan.json; /loan/login</w:t>
            </w:r>
          </w:p>
        </w:tc>
        <w:tc>
          <w:tcPr>
            <w:tcW w:type="dxa" w:w="3312"/>
          </w:tcPr>
          <w:p>
            <w:r/>
            <w:r>
              <w:rPr>
                <w:sz w:val="17"/>
              </w:rPr>
              <w:t>Multi-step form posting to enterprise APIs, validation, session/login handoff to gated servicing app.</w:t>
            </w:r>
          </w:p>
        </w:tc>
      </w:tr>
      <w:tr>
        <w:tc>
          <w:tcPr>
            <w:tcW w:type="dxa" w:w="2448"/>
          </w:tcPr>
          <w:p>
            <w:r/>
            <w:r>
              <w:rPr>
                <w:sz w:val="17"/>
              </w:rPr>
              <w:t>Programmatic location pages</w:t>
            </w:r>
          </w:p>
        </w:tc>
        <w:tc>
          <w:tcPr>
            <w:tcW w:type="dxa" w:w="1296"/>
          </w:tcPr>
          <w:p>
            <w:r/>
            <w:r>
              <w:rPr>
                <w:sz w:val="17"/>
              </w:rPr>
              <w:t>1,189</w:t>
            </w:r>
          </w:p>
        </w:tc>
        <w:tc>
          <w:tcPr>
            <w:tcW w:type="dxa" w:w="2736"/>
          </w:tcPr>
          <w:p>
            <w:r/>
            <w:r>
              <w:rPr>
                <w:sz w:val="17"/>
              </w:rPr>
              <w:t>/branch-locator/* (states, cities, branches)</w:t>
            </w:r>
          </w:p>
        </w:tc>
        <w:tc>
          <w:tcPr>
            <w:tcW w:type="dxa" w:w="3312"/>
          </w:tcPr>
          <w:p>
            <w:r/>
            <w:r>
              <w:rPr>
                <w:sz w:val="17"/>
              </w:rPr>
              <w:t>Data-source driven SEO pages with Google Maps + cascading dropdowns; volume + dependency on branch-locator.json and geo data.</w:t>
            </w:r>
          </w:p>
        </w:tc>
      </w:tr>
      <w:tr>
        <w:tc>
          <w:tcPr>
            <w:tcW w:type="dxa" w:w="2448"/>
          </w:tcPr>
          <w:p>
            <w:r/>
            <w:r>
              <w:rPr>
                <w:sz w:val="17"/>
              </w:rPr>
              <w:t>Customer login / servicing (session-gated)</w:t>
            </w:r>
          </w:p>
        </w:tc>
        <w:tc>
          <w:tcPr>
            <w:tcW w:type="dxa" w:w="1296"/>
          </w:tcPr>
          <w:p>
            <w:r/>
            <w:r>
              <w:rPr>
                <w:sz w:val="17"/>
              </w:rPr>
              <w:t>1 app + every Login CTA</w:t>
            </w:r>
          </w:p>
        </w:tc>
        <w:tc>
          <w:tcPr>
            <w:tcW w:type="dxa" w:w="2736"/>
          </w:tcPr>
          <w:p>
            <w:r/>
            <w:r>
              <w:rPr>
                <w:sz w:val="17"/>
              </w:rPr>
              <w:t>/loan/login, header Login</w:t>
            </w:r>
          </w:p>
        </w:tc>
        <w:tc>
          <w:tcPr>
            <w:tcW w:type="dxa" w:w="3312"/>
          </w:tcPr>
          <w:p>
            <w:r/>
            <w:r>
              <w:rPr>
                <w:sz w:val="17"/>
              </w:rPr>
              <w:t>Returns 406 to bots; authenticated, session-dependent area outside the marketing site scope.</w:t>
            </w:r>
          </w:p>
        </w:tc>
      </w:tr>
      <w:tr>
        <w:tc>
          <w:tcPr>
            <w:tcW w:type="dxa" w:w="2448"/>
          </w:tcPr>
          <w:p>
            <w:r/>
            <w:r>
              <w:rPr>
                <w:sz w:val="17"/>
              </w:rPr>
              <w:t>Enterprise backend API dependencies</w:t>
            </w:r>
          </w:p>
        </w:tc>
        <w:tc>
          <w:tcPr>
            <w:tcW w:type="dxa" w:w="1296"/>
          </w:tcPr>
          <w:p>
            <w:r/>
            <w:r>
              <w:rPr>
                <w:sz w:val="17"/>
              </w:rPr>
              <w:t>4+ endpoints</w:t>
            </w:r>
          </w:p>
        </w:tc>
        <w:tc>
          <w:tcPr>
            <w:tcW w:type="dxa" w:w="2736"/>
          </w:tcPr>
          <w:p>
            <w:r/>
            <w:r>
              <w:rPr>
                <w:sz w:val="17"/>
              </w:rPr>
              <w:t>mobileapi.pchf.in, apisit.piramal.com, campaignapi, allincall</w:t>
            </w:r>
          </w:p>
        </w:tc>
        <w:tc>
          <w:tcPr>
            <w:tcW w:type="dxa" w:w="3312"/>
          </w:tcPr>
          <w:p>
            <w:r/>
            <w:r>
              <w:rPr>
                <w:sz w:val="17"/>
              </w:rPr>
              <w:t>Live coupling to core lending/campaign/voice systems; environment config, auth, and CORS must be re-validated post-migration.</w:t>
            </w:r>
          </w:p>
        </w:tc>
      </w:tr>
      <w:tr>
        <w:tc>
          <w:tcPr>
            <w:tcW w:type="dxa" w:w="2448"/>
          </w:tcPr>
          <w:p>
            <w:r/>
            <w:r>
              <w:rPr>
                <w:sz w:val="17"/>
              </w:rPr>
              <w:t>Structured-data inconsistency</w:t>
            </w:r>
          </w:p>
        </w:tc>
        <w:tc>
          <w:tcPr>
            <w:tcW w:type="dxa" w:w="1296"/>
          </w:tcPr>
          <w:p>
            <w:r/>
            <w:r>
              <w:rPr>
                <w:sz w:val="17"/>
              </w:rPr>
              <w:t>Multiple</w:t>
            </w:r>
          </w:p>
        </w:tc>
        <w:tc>
          <w:tcPr>
            <w:tcW w:type="dxa" w:w="2736"/>
          </w:tcPr>
          <w:p>
            <w:r/>
            <w:r>
              <w:rPr>
                <w:sz w:val="17"/>
              </w:rPr>
              <w:t>/personal-loan (none), /calculators (partial), /faq (no FAQPage)</w:t>
            </w:r>
          </w:p>
        </w:tc>
        <w:tc>
          <w:tcPr>
            <w:tcW w:type="dxa" w:w="3312"/>
          </w:tcPr>
          <w:p>
            <w:r/>
            <w:r>
              <w:rPr>
                <w:sz w:val="17"/>
              </w:rPr>
              <w:t>Rich JSON-LD on some product pages but missing on peers; risk of losing rich results unless normalized during migration.</w:t>
            </w:r>
          </w:p>
        </w:tc>
      </w:tr>
      <w:tr>
        <w:tc>
          <w:tcPr>
            <w:tcW w:type="dxa" w:w="2448"/>
          </w:tcPr>
          <w:p>
            <w:r/>
            <w:r>
              <w:rPr>
                <w:sz w:val="17"/>
              </w:rPr>
              <w:t>Decommissioned regional-language paths</w:t>
            </w:r>
          </w:p>
        </w:tc>
        <w:tc>
          <w:tcPr>
            <w:tcW w:type="dxa" w:w="1296"/>
          </w:tcPr>
          <w:p>
            <w:r/>
            <w:r>
              <w:rPr>
                <w:sz w:val="17"/>
              </w:rPr>
              <w:t>7 prefixes</w:t>
            </w:r>
          </w:p>
        </w:tc>
        <w:tc>
          <w:tcPr>
            <w:tcW w:type="dxa" w:w="2736"/>
          </w:tcPr>
          <w:p>
            <w:r/>
            <w:r>
              <w:rPr>
                <w:sz w:val="17"/>
              </w:rPr>
              <w:t>/hi /gu /mr /ta /te /kn /ml (404, also robots-blocked)</w:t>
            </w:r>
          </w:p>
        </w:tc>
        <w:tc>
          <w:tcPr>
            <w:tcW w:type="dxa" w:w="3312"/>
          </w:tcPr>
          <w:p>
            <w:r/>
            <w:r>
              <w:rPr>
                <w:sz w:val="17"/>
              </w:rPr>
              <w:t>Listed in robots.txt but return 404 with no content; stale rules to clean up; confirm no SEO equity/redirects needed.</w:t>
            </w:r>
          </w:p>
        </w:tc>
      </w:tr>
      <w:tr>
        <w:tc>
          <w:tcPr>
            <w:tcW w:type="dxa" w:w="2448"/>
          </w:tcPr>
          <w:p>
            <w:r/>
            <w:r>
              <w:rPr>
                <w:sz w:val="17"/>
              </w:rPr>
              <w:t>Multiple calculator/eligibility block variants</w:t>
            </w:r>
          </w:p>
        </w:tc>
        <w:tc>
          <w:tcPr>
            <w:tcW w:type="dxa" w:w="1296"/>
          </w:tcPr>
          <w:p>
            <w:r/>
            <w:r>
              <w:rPr>
                <w:sz w:val="17"/>
              </w:rPr>
              <w:t>3+ block names</w:t>
            </w:r>
          </w:p>
        </w:tc>
        <w:tc>
          <w:tcPr>
            <w:tcW w:type="dxa" w:w="2736"/>
          </w:tcPr>
          <w:p>
            <w:r/>
            <w:r>
              <w:rPr>
                <w:sz w:val="17"/>
              </w:rPr>
              <w:t>homeloancalculatorv2, emiandeligiblitycalc, eligibilitycalculator</w:t>
            </w:r>
          </w:p>
        </w:tc>
        <w:tc>
          <w:tcPr>
            <w:tcW w:type="dxa" w:w="3312"/>
          </w:tcPr>
          <w:p>
            <w:r/>
            <w:r>
              <w:rPr>
                <w:sz w:val="17"/>
              </w:rPr>
              <w:t>Overlapping calculator implementations should be consolidated into one block with variants to reduce maintenance.</w:t>
            </w:r>
          </w:p>
        </w:tc>
      </w:tr>
      <w:tr>
        <w:tc>
          <w:tcPr>
            <w:tcW w:type="dxa" w:w="2448"/>
          </w:tcPr>
          <w:p>
            <w:r/>
            <w:r>
              <w:rPr>
                <w:sz w:val="17"/>
              </w:rPr>
              <w:t>Heavy marketing/tracking stack</w:t>
            </w:r>
          </w:p>
        </w:tc>
        <w:tc>
          <w:tcPr>
            <w:tcW w:type="dxa" w:w="1296"/>
          </w:tcPr>
          <w:p>
            <w:r/>
            <w:r>
              <w:rPr>
                <w:sz w:val="17"/>
              </w:rPr>
              <w:t>8+ tags</w:t>
            </w:r>
          </w:p>
        </w:tc>
        <w:tc>
          <w:tcPr>
            <w:tcW w:type="dxa" w:w="2736"/>
          </w:tcPr>
          <w:p>
            <w:r/>
            <w:r>
              <w:rPr>
                <w:sz w:val="17"/>
              </w:rPr>
              <w:t>Site-wide (GTM, Adobe, MoEngage, Clarity, Bing, FB, DoubleClick)</w:t>
            </w:r>
          </w:p>
        </w:tc>
        <w:tc>
          <w:tcPr>
            <w:tcW w:type="dxa" w:w="3312"/>
          </w:tcPr>
          <w:p>
            <w:r/>
            <w:r>
              <w:rPr>
                <w:sz w:val="17"/>
              </w:rPr>
              <w:t>Tag parity, consent, and dataLayer events must be preserved; risk of analytics gaps during cutover.</w:t>
            </w:r>
          </w:p>
        </w:tc>
      </w:tr>
    </w:tbl>
    <w:p/>
    <w:p>
      <w:r>
        <w:br w:type="page"/>
      </w:r>
    </w:p>
    <w:p>
      <w:pPr>
        <w:pBdr>
          <w:bottom w:val="single" w:sz="6" w:space="1" w:color="E85A28"/>
        </w:pBdr>
      </w:pPr>
      <w:r>
        <w:rPr>
          <w:b/>
          <w:color w:val="123A5E"/>
          <w:sz w:val="32"/>
        </w:rPr>
        <w:t>6. Recommendations &amp; Migration Notes</w:t>
      </w:r>
    </w:p>
    <w:p>
      <w:pPr>
        <w:pStyle w:val="ListBullet"/>
      </w:pPr>
      <w:r>
        <w:rPr>
          <w:sz w:val="21"/>
        </w:rPr>
        <w:t>Phase the migration: (1) automate the 1,189 Branch-Locator pages and static legal/content pages first for quick volume wins; (2) manually rebuild product pages, calculators and forms with functional QA; (3) plan the WordPress /vidya blog (3,160 URLs) as a dedicated workstream.</w:t>
      </w:r>
    </w:p>
    <w:p>
      <w:pPr>
        <w:pStyle w:val="ListBullet"/>
      </w:pPr>
      <w:r>
        <w:rPr>
          <w:sz w:val="21"/>
        </w:rPr>
        <w:t>Consolidate overlapping calculator blocks (homeloancalculatorv2 / emiandeligiblitycalc / eligibilitycalculator) into a single block with design + config variants.</w:t>
      </w:r>
    </w:p>
    <w:p>
      <w:pPr>
        <w:pStyle w:val="ListBullet"/>
      </w:pPr>
      <w:r>
        <w:rPr>
          <w:sz w:val="21"/>
        </w:rPr>
        <w:t>Normalize structured data: add FinancialService/LoanOrCredit/FAQPage JSON-LD to /personal-loan and other product pages currently missing it.</w:t>
      </w:r>
    </w:p>
    <w:p>
      <w:pPr>
        <w:pStyle w:val="ListBullet"/>
      </w:pPr>
      <w:r>
        <w:rPr>
          <w:sz w:val="21"/>
        </w:rPr>
        <w:t>Preserve all enterprise API contracts (apply-form, calculators, branch-locator, mobileapi/apisit/campaignapi) and re-validate auth/CORS/env config in the target environment.</w:t>
      </w:r>
    </w:p>
    <w:p>
      <w:pPr>
        <w:pStyle w:val="ListBullet"/>
      </w:pPr>
      <w:r>
        <w:rPr>
          <w:sz w:val="21"/>
        </w:rPr>
        <w:t>Maintain analytics parity (GTM container GTM-T5MTVQ9, Adobe, MoEngage, Clarity) and dataLayer events through cutover; verify consent management.</w:t>
      </w:r>
    </w:p>
    <w:p>
      <w:pPr>
        <w:pStyle w:val="ListBullet"/>
      </w:pPr>
      <w:r>
        <w:rPr>
          <w:sz w:val="21"/>
        </w:rPr>
        <w:t>Implement 301 redirects for the WordPress blog URLs and clean up the stale regional-language robots.txt rules.</w:t>
      </w:r>
    </w:p>
    <w:p>
      <w:pPr>
        <w:pStyle w:val="ListBullet"/>
      </w:pPr>
      <w:r>
        <w:rPr>
          <w:sz w:val="21"/>
        </w:rPr>
        <w:t>Treat the customer login / servicing area (/loan/login) as out-of-scope for content migration — it is a session-gated application.</w:t>
      </w:r>
    </w:p>
    <w:p/>
    <w:p>
      <w:pPr>
        <w:jc w:val="center"/>
      </w:pPr>
      <w:r>
        <w:rPr>
          <w:i/>
          <w:color w:val="555555"/>
          <w:sz w:val="1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