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00008F"/>
          <w:sz w:val="60"/>
        </w:rPr>
        <w:t>AXA Philippines Website</w:t>
      </w:r>
    </w:p>
    <w:p>
      <w:pPr>
        <w:jc w:val="center"/>
      </w:pPr>
      <w:r>
        <w:rPr>
          <w:b/>
          <w:color w:val="FF1C21"/>
          <w:sz w:val="44"/>
        </w:rPr>
        <w:t>Migration Analysis &amp; Assessment</w:t>
      </w:r>
    </w:p>
    <w:p>
      <w:pPr>
        <w:jc w:val="center"/>
      </w:pPr>
      <w:r>
        <w:rPr>
          <w:color w:val="505050"/>
          <w:sz w:val="26"/>
        </w:rPr>
        <w:t>Templates, Components, Integrations &amp; Migration Estimates</w:t>
      </w:r>
    </w:p>
    <w:p/>
    <w:p>
      <w:pPr>
        <w:jc w:val="center"/>
      </w:pPr>
      <w:r>
        <w:rPr>
          <w:color w:val="5A5A5A"/>
          <w:sz w:val="22"/>
        </w:rPr>
        <w:t>Target Platform: Adobe Experience Manager (AEM) Cloud Service – Core Components</w:t>
        <w:br/>
        <w:t>Source Site: https://www.axa.com.ph/</w:t>
        <w:br/>
        <w:t>Scope: 21 representative URLs</w:t>
        <w:br/>
        <w:t>Date: June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60"/>
      </w:pPr>
      <w:r>
        <w:t>1. Executive Summary</w:t>
      </w:r>
    </w:p>
    <w:p>
      <w:pPr>
        <w:spacing w:after="60"/>
      </w:pPr>
      <w:r>
        <w:t>2. Templates Inventory</w:t>
      </w:r>
    </w:p>
    <w:p>
      <w:pPr>
        <w:spacing w:after="60"/>
      </w:pPr>
      <w:r>
        <w:t>3. Components Catalog (AEM Core Components)</w:t>
      </w:r>
    </w:p>
    <w:p>
      <w:pPr>
        <w:spacing w:after="60"/>
      </w:pPr>
      <w:r>
        <w:t>4. Page Counts by Template</w:t>
      </w:r>
    </w:p>
    <w:p>
      <w:pPr>
        <w:spacing w:after="60"/>
      </w:pPr>
      <w:r>
        <w:t>5. Integrations Analysis</w:t>
      </w:r>
    </w:p>
    <w:p>
      <w:pPr>
        <w:spacing w:after="60"/>
      </w:pPr>
      <w:r>
        <w:t>6. Complex Use Cases &amp; Observations</w:t>
      </w:r>
    </w:p>
    <w:p>
      <w:pPr>
        <w:spacing w:after="60"/>
      </w:pPr>
      <w:r>
        <w:t>7. Migration Estimates</w:t>
      </w:r>
    </w:p>
    <w:p>
      <w:pPr>
        <w:spacing w:after="60"/>
      </w:pPr>
      <w:r>
        <w:t>8. Appendix: Page Screenshots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document analyzes 21 representative URLs from the AXA Philippines website (www.axa.com.ph) to assess migration to Adobe Experience Manager (AEM) as a Cloud Service, implemented using the AEM Core Components (WCM) component library. AXA Philippines is a leading life and general insurance provider; the analyzed pages span financial-literacy content, co-branded bancassurance product pages (Metrobank / PSBank), self-service payment facilities, product activation flows, an editorial newsroom, and the "Emma by AXA" customer self-service portal.</w:t>
      </w:r>
    </w:p>
    <w:p>
      <w:r>
        <w:t>The current site is built on a headless/decoupled stack: content and media are served from Prismic (a SaaS headless CMS) and the interactive flows (quote engines, payments, account portal) are AngularJS single-page applications. A migration to AEM CMS therefore involves two distinct efforts: (a) re-platforming editorial/marketing content onto AEM Core Components, which is largely automatable, and (b) re-integrating or rebuilding the transactional SPA experiences, which is predominantly manual, integration-heavy work.</w:t>
      </w:r>
    </w:p>
    <w:p>
      <w:pPr>
        <w:pStyle w:val="Heading2"/>
      </w:pPr>
      <w:r>
        <w:t>Key Findings</w:t>
      </w:r>
    </w:p>
    <w:p>
      <w:pPr>
        <w:pStyle w:val="ListBullet"/>
        <w:spacing w:after="40"/>
      </w:pPr>
      <w:r>
        <w:t>6 distinct page templates identified across the 21 URLs (1 URL – /installment-general-insurance – returns HTTP 404 and is excluded from active counts).</w:t>
      </w:r>
    </w:p>
    <w:p>
      <w:pPr>
        <w:pStyle w:val="ListBullet"/>
        <w:spacing w:after="40"/>
      </w:pPr>
      <w:r>
        <w:t>14 reusable components cataloged, all mappable to standard or extended AEM Core Components; visual differences are best handled as component style variations, not new components.</w:t>
      </w:r>
    </w:p>
    <w:p>
      <w:pPr>
        <w:pStyle w:val="ListBullet"/>
        <w:spacing w:after="40"/>
      </w:pPr>
      <w:r>
        <w:t>Content delivery is currently headless via Prismic CMS; media is served from images.prismic.io and axa-philippines.cdn.prismic.io.</w:t>
      </w:r>
    </w:p>
    <w:p>
      <w:pPr>
        <w:pStyle w:val="ListBullet"/>
        <w:spacing w:after="40"/>
      </w:pPr>
      <w:r>
        <w:t>Transactional pages are AngularJS SPAs with heavy client-side logic (multi-step forms, cascading dropdowns, OTP, premium calculation).</w:t>
      </w:r>
    </w:p>
    <w:p>
      <w:pPr>
        <w:pStyle w:val="ListBullet"/>
        <w:spacing w:after="40"/>
      </w:pPr>
      <w:r>
        <w:t>Extensive third-party integration footprint: 2C2P and PesoPay payment gateways, ion.axa.com.ph payment service, Google reCAPTCHA, LiveChat, and a full martech stack (GA, GTM, Microsoft Clarity, Bing UET, DoubleClick/Google Ads, Innity, Azure Application Insights).</w:t>
      </w:r>
    </w:p>
    <w:p>
      <w:pPr>
        <w:pStyle w:val="ListBullet"/>
        <w:spacing w:after="40"/>
      </w:pPr>
      <w:r>
        <w:t>Co-branded bancassurance pages (Metrobank, PSBank) reuse a single product template with partner-specific branding/credit-card assets – ideal candidates for AEM templating + Experience Fragments.</w:t>
      </w:r>
    </w:p>
    <w:p>
      <w:pPr>
        <w:pStyle w:val="ListBullet"/>
        <w:spacing w:after="40"/>
      </w:pPr>
      <w:r>
        <w:t>The "Emma by AXA" portal (login, register, forgot-password) is an authenticated account application backed by AXA back-end services – out of scope for CMS content migration and should remain a separate application integrated via SSO/links.</w:t>
      </w:r>
    </w:p>
    <w:p>
      <w:pPr>
        <w:pStyle w:val="Heading2"/>
      </w:pPr>
      <w:r>
        <w:t>Recommended Target Architecture (AEM Core Components)</w:t>
      </w:r>
    </w:p>
    <w:p>
      <w:pPr>
        <w:pStyle w:val="ListBullet"/>
        <w:spacing w:after="40"/>
      </w:pPr>
      <w:r>
        <w:t>Editorial Templates: AEM Editable Templates + Core Components (Title, Text, Image, Teaser, Carousel, Tabs, Accordion, Container, Button, List, Embed).</w:t>
      </w:r>
    </w:p>
    <w:p>
      <w:pPr>
        <w:pStyle w:val="ListBullet"/>
        <w:spacing w:after="40"/>
      </w:pPr>
      <w:r>
        <w:t>Reusable header/footer/partner branding: Experience Fragments referenced across templates and locales.</w:t>
      </w:r>
    </w:p>
    <w:p>
      <w:pPr>
        <w:pStyle w:val="ListBullet"/>
        <w:spacing w:after="40"/>
      </w:pPr>
      <w:r>
        <w:t>Article/Newsroom listing: Core Components List + Content Fragments for article bodies, enabling structured, query-driven listing pages.</w:t>
      </w:r>
    </w:p>
    <w:p>
      <w:pPr>
        <w:pStyle w:val="ListBullet"/>
        <w:spacing w:after="40"/>
      </w:pPr>
      <w:r>
        <w:t>Transactional flows (quote, payment, activation): retain as AngularJS/SPA apps embedded via the Core Components Embed component or AEM SPA Editor, with AEM owning the surrounding chrome and marketing content.</w:t>
      </w:r>
    </w:p>
    <w:p>
      <w:pPr>
        <w:pStyle w:val="ListBullet"/>
        <w:spacing w:after="40"/>
      </w:pPr>
      <w:r>
        <w:t>Emma portal: keep as the existing authenticated application; AEM provides only the marketing/landing shell and deep-links.</w:t>
      </w:r>
    </w:p>
    <w:p>
      <w:r>
        <w:br w:type="page"/>
      </w:r>
    </w:p>
    <w:p>
      <w:pPr>
        <w:pStyle w:val="Heading1"/>
      </w:pPr>
      <w:r>
        <w:t>2. Templates Inventory</w:t>
      </w:r>
    </w:p>
    <w:p>
      <w:r>
        <w:t>The 21 URLs consolidate into 6 unique page templates. Complexity reflects the effort to reproduce the template on AEM Core Components, including dynamic behavior and integrations.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Template</w:t>
            </w:r>
          </w:p>
        </w:tc>
        <w:tc>
          <w:tcPr>
            <w:tcW w:type="dxa" w:w="1020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3685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Reasoning</w:t>
            </w:r>
          </w:p>
        </w:tc>
        <w:tc>
          <w:tcPr>
            <w:tcW w:type="dxa" w:w="3402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Reference URL Examples</w:t>
            </w:r>
          </w:p>
        </w:tc>
      </w:tr>
      <w:tr>
        <w:tc>
          <w:tcPr>
            <w:tcW w:type="dxa" w:w="567"/>
            <w:shd w:fill="EEF1F8" w:val="clear"/>
          </w:tcPr>
          <w:p>
            <w:r>
              <w:rPr>
                <w:sz w:val="16"/>
              </w:rPr>
              <w:t>T1</w:t>
            </w:r>
          </w:p>
        </w:tc>
        <w:tc>
          <w:tcPr>
            <w:tcW w:type="dxa" w:w="1814"/>
            <w:shd w:fill="EEF1F8" w:val="clear"/>
          </w:tcPr>
          <w:p>
            <w:r>
              <w:rPr>
                <w:sz w:val="16"/>
              </w:rPr>
              <w:t>Content / Literacy Hub Landing</w:t>
            </w:r>
          </w:p>
        </w:tc>
        <w:tc>
          <w:tcPr>
            <w:tcW w:type="dxa" w:w="1020"/>
            <w:shd w:fill="EEF1F8" w:val="clear"/>
          </w:tcPr>
          <w:p>
            <w:r>
              <w:rPr>
                <w:sz w:val="16"/>
              </w:rPr>
              <w:t>Low–Medium</w:t>
            </w:r>
          </w:p>
        </w:tc>
        <w:tc>
          <w:tcPr>
            <w:tcW w:type="dxa" w:w="3685"/>
            <w:shd w:fill="EEF1F8" w:val="clear"/>
          </w:tcPr>
          <w:p>
            <w:r>
              <w:rPr>
                <w:sz w:val="16"/>
              </w:rPr>
              <w:t>Largely static marketing layout: hero, category nav, card grid, onboarding modal. Content authorable with standard Core Components. Welcome modal and category filtering add minor JS.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6"/>
              </w:rPr>
              <w:t>https://www.axa.com.ph/finlithub</w:t>
            </w:r>
          </w:p>
        </w:tc>
      </w:tr>
      <w:tr>
        <w:tc>
          <w:tcPr>
            <w:tcW w:type="dxa" w:w="567"/>
          </w:tcPr>
          <w:p>
            <w:r>
              <w:rPr>
                <w:sz w:val="16"/>
              </w:rPr>
              <w:t>T2</w:t>
            </w:r>
          </w:p>
        </w:tc>
        <w:tc>
          <w:tcPr>
            <w:tcW w:type="dxa" w:w="1814"/>
          </w:tcPr>
          <w:p>
            <w:r>
              <w:rPr>
                <w:sz w:val="16"/>
              </w:rPr>
              <w:t>Product / Purchase (Bancassurance) Page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AngularJS SPA with hero, coverage feature grid, multi-step quote/purchase form, cascading dropdowns, range slider, OTP, premium calculation, FAQ accordion, partner co-branding, payment gateway. Heavy logic + integrations.</w:t>
            </w:r>
          </w:p>
        </w:tc>
        <w:tc>
          <w:tcPr>
            <w:tcW w:type="dxa" w:w="3402"/>
          </w:tcPr>
          <w:p>
            <w:r>
              <w:rPr>
                <w:sz w:val="16"/>
              </w:rPr>
              <w:t>https://www.axa.com.ph/products/car-insurance/partners/metrobank ; .../car-insurance/partners/psbank ; .../travel-insurance/partners/metrobank ; .../travel-insurance/partners/psbank ; https://www.axa.com.ph/healthstartlite ; .../health-start-lite/partners/metrobank</w:t>
            </w:r>
          </w:p>
        </w:tc>
      </w:tr>
      <w:tr>
        <w:tc>
          <w:tcPr>
            <w:tcW w:type="dxa" w:w="567"/>
            <w:shd w:fill="EEF1F8" w:val="clear"/>
          </w:tcPr>
          <w:p>
            <w:r>
              <w:rPr>
                <w:sz w:val="16"/>
              </w:rPr>
              <w:t>T3</w:t>
            </w:r>
          </w:p>
        </w:tc>
        <w:tc>
          <w:tcPr>
            <w:tcW w:type="dxa" w:w="1814"/>
            <w:shd w:fill="EEF1F8" w:val="clear"/>
          </w:tcPr>
          <w:p>
            <w:r>
              <w:rPr>
                <w:sz w:val="16"/>
              </w:rPr>
              <w:t>Payment Facility Page</w:t>
            </w:r>
          </w:p>
        </w:tc>
        <w:tc>
          <w:tcPr>
            <w:tcW w:type="dxa" w:w="1020"/>
            <w:shd w:fill="EEF1F8" w:val="clear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3685"/>
            <w:shd w:fill="EEF1F8" w:val="clear"/>
          </w:tcPr>
          <w:p>
            <w:r>
              <w:rPr>
                <w:sz w:val="16"/>
              </w:rPr>
              <w:t>Self-service payment forms (one-time, recurring/auto-pay, general insurance). Policy/PRN lookup with real-time validation, currency toggle, reCAPTCHA, OTP, agreement gating, redirect to payment gateway.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6"/>
              </w:rPr>
              <w:t>https://www.axa.com.ph/payments/premium-onetime ; .../payments/premium-recurring ; .../payments/premium-onetime-general-insurance</w:t>
            </w:r>
          </w:p>
        </w:tc>
      </w:tr>
      <w:tr>
        <w:tc>
          <w:tcPr>
            <w:tcW w:type="dxa" w:w="567"/>
          </w:tcPr>
          <w:p>
            <w:r>
              <w:rPr>
                <w:sz w:val="16"/>
              </w:rPr>
              <w:t>T4</w:t>
            </w:r>
          </w:p>
        </w:tc>
        <w:tc>
          <w:tcPr>
            <w:tcW w:type="dxa" w:w="1814"/>
          </w:tcPr>
          <w:p>
            <w:r>
              <w:rPr>
                <w:sz w:val="16"/>
              </w:rPr>
              <w:t>Product Activation Page (PA / Card)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Medium–High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Tabbed layout (Activation / Coverage / Claim) with PIN/PA-code entry, long multi-section application form, cascading PH geography dropdowns, downloadable claim PDFs, validation.</w:t>
            </w:r>
          </w:p>
        </w:tc>
        <w:tc>
          <w:tcPr>
            <w:tcW w:type="dxa" w:w="3402"/>
          </w:tcPr>
          <w:p>
            <w:r>
              <w:rPr>
                <w:sz w:val="16"/>
              </w:rPr>
              <w:t>https://www.axa.com.ph/pa ; https://www.axa.com.ph/pa/nba ; https://www.axa.com.ph/pacard</w:t>
            </w:r>
          </w:p>
        </w:tc>
      </w:tr>
      <w:tr>
        <w:tc>
          <w:tcPr>
            <w:tcW w:type="dxa" w:w="567"/>
            <w:shd w:fill="EEF1F8" w:val="clear"/>
          </w:tcPr>
          <w:p>
            <w:r>
              <w:rPr>
                <w:sz w:val="16"/>
              </w:rPr>
              <w:t>T5</w:t>
            </w:r>
          </w:p>
        </w:tc>
        <w:tc>
          <w:tcPr>
            <w:tcW w:type="dxa" w:w="1814"/>
            <w:shd w:fill="EEF1F8" w:val="clear"/>
          </w:tcPr>
          <w:p>
            <w:r>
              <w:rPr>
                <w:sz w:val="16"/>
              </w:rPr>
              <w:t>Article Listing / Newsroom</w:t>
            </w:r>
          </w:p>
        </w:tc>
        <w:tc>
          <w:tcPr>
            <w:tcW w:type="dxa" w:w="1020"/>
            <w:shd w:fill="EEF1F8" w:val="clear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3685"/>
            <w:shd w:fill="EEF1F8" w:val="clear"/>
          </w:tcPr>
          <w:p>
            <w:r>
              <w:rPr>
                <w:sz w:val="16"/>
              </w:rPr>
              <w:t>Editorial index: hero, category filter tabs, chronological article cards, count badge, read-more. Maps well to Core Components List + Content Fragments; filtering is dynamic.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6"/>
              </w:rPr>
              <w:t>https://www.axa.com.ph/multimedia/newsroom ; https://www.axa.com.ph/multimedia/articles</w:t>
            </w:r>
          </w:p>
        </w:tc>
      </w:tr>
      <w:tr>
        <w:tc>
          <w:tcPr>
            <w:tcW w:type="dxa" w:w="567"/>
          </w:tcPr>
          <w:p>
            <w:r>
              <w:rPr>
                <w:sz w:val="16"/>
              </w:rPr>
              <w:t>T6</w:t>
            </w:r>
          </w:p>
        </w:tc>
        <w:tc>
          <w:tcPr>
            <w:tcW w:type="dxa" w:w="1814"/>
          </w:tcPr>
          <w:p>
            <w:r>
              <w:rPr>
                <w:sz w:val="16"/>
              </w:rPr>
              <w:t>Account Portal / Authentication (Emma)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Authenticated SPA: login, multi-step registration, forgot-password, account dashboards (policies, advisors, payments, e-notiXes). Backed by AXA back-end services + email/OTP verification. Not a CMS content template.</w:t>
            </w:r>
          </w:p>
        </w:tc>
        <w:tc>
          <w:tcPr>
            <w:tcW w:type="dxa" w:w="3402"/>
          </w:tcPr>
          <w:p>
            <w:r>
              <w:rPr>
                <w:sz w:val="16"/>
              </w:rPr>
              <w:t>https://www.axa.com.ph/emma ; https://www.axa.com.ph/emma/login ; https://www.axa.com.ph/emma/faq ; https://www.axa.com.ph/emma/forgot-password ; https://www.axa.com.ph/axaprime</w:t>
            </w:r>
          </w:p>
        </w:tc>
      </w:tr>
    </w:tbl>
    <w:p/>
    <w:p>
      <w:r>
        <w:rPr>
          <w:i/>
          <w:sz w:val="17"/>
        </w:rPr>
        <w:t>Note: https://www.axa.com.ph/axaprime is a recruitment/lead-generation landing page with a registration form; it is grouped under the form-driven landing pattern (closest to T6 for estimation, but visually a Content landing). https://www.axa.com.ph/emma/faq is an FAQ page using accordions (T5/Content pattern). One URL (https://www.axa.com.ph/installment-general-insurance) returned HTTP 404.</w:t>
      </w:r>
    </w:p>
    <w:p>
      <w:r>
        <w:br w:type="page"/>
      </w:r>
    </w:p>
    <w:p>
      <w:pPr>
        <w:pStyle w:val="Heading1"/>
      </w:pPr>
      <w:r>
        <w:t>3. Components Catalog (AEM Core Components)</w:t>
      </w:r>
    </w:p>
    <w:p>
      <w:r>
        <w:t>Reusable UI elements observed across the site, mapped to AEM Core Components. Per the migration guidance, visual differences (e.g., partner co-branding, card layout variants) are implemented as component style/system variations rather than new components, maximizing reuse.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10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0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04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AEM Core Component Mapping</w:t>
            </w:r>
          </w:p>
        </w:tc>
        <w:tc>
          <w:tcPr>
            <w:tcW w:type="dxa" w:w="850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3402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Behaviour &amp; Functionality</w:t>
            </w:r>
          </w:p>
        </w:tc>
        <w:tc>
          <w:tcPr>
            <w:tcW w:type="dxa" w:w="204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Reference URL(s)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C1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5"/>
              </w:rPr>
              <w:t>Global Header / Primary Nav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Header (XF) + Navigation + Language/Utility nav</w:t>
            </w:r>
          </w:p>
        </w:tc>
        <w:tc>
          <w:tcPr>
            <w:tcW w:type="dxa" w:w="850"/>
            <w:shd w:fill="EEF1F8" w:val="clear"/>
          </w:tcPr>
          <w:p>
            <w:r>
              <w:rPr>
                <w:sz w:val="15"/>
              </w:rPr>
              <w:t>Medium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5"/>
              </w:rPr>
              <w:t>Sticky multi-level dropdown nav (Products, Buy Online, Understand Your Needs, Payments, Support, Emma, About Us) + utility links (Funds, Careers, Consult an Advisor). Authored once as Experience Fragment.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All pages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C2</w:t>
            </w:r>
          </w:p>
        </w:tc>
        <w:tc>
          <w:tcPr>
            <w:tcW w:type="dxa" w:w="1701"/>
          </w:tcPr>
          <w:p>
            <w:r>
              <w:rPr>
                <w:sz w:val="15"/>
              </w:rPr>
              <w:t>Global Footer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Footer (XF) + List + Social icons</w:t>
            </w:r>
          </w:p>
        </w:tc>
        <w:tc>
          <w:tcPr>
            <w:tcW w:type="dxa" w:w="850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402"/>
          </w:tcPr>
          <w:p>
            <w:r>
              <w:rPr>
                <w:sz w:val="15"/>
              </w:rPr>
              <w:t>Social links (FB, X, YouTube, LinkedIn, Instagram), AXA Worldwide link, Site Map / Legal / Privacy, copyright. Reused as Experience Fragment.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All pages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C3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5"/>
              </w:rPr>
              <w:t>Cookie Consent Banner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Custom / Embed (martech-managed)</w:t>
            </w:r>
          </w:p>
        </w:tc>
        <w:tc>
          <w:tcPr>
            <w:tcW w:type="dxa" w:w="850"/>
            <w:shd w:fill="EEF1F8" w:val="clear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5"/>
              </w:rPr>
              <w:t>Top-of-page privacy/cookie notice with "I Accept". Typically provided by martech tag, not authored content.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All pages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C4</w:t>
            </w:r>
          </w:p>
        </w:tc>
        <w:tc>
          <w:tcPr>
            <w:tcW w:type="dxa" w:w="1701"/>
          </w:tcPr>
          <w:p>
            <w:r>
              <w:rPr>
                <w:sz w:val="15"/>
              </w:rPr>
              <w:t>Hero Banner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Teaser (with responsive image variations)</w:t>
            </w:r>
          </w:p>
        </w:tc>
        <w:tc>
          <w:tcPr>
            <w:tcW w:type="dxa" w:w="850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402"/>
          </w:tcPr>
          <w:p>
            <w:r>
              <w:rPr>
                <w:sz w:val="15"/>
              </w:rPr>
              <w:t>Full-width image + headline + supporting copy + CTA button(s). Responsive desktop/tablet/mobile image variants.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finlithub, healthstartlite, car-insurance, pa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C5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5"/>
              </w:rPr>
              <w:t>CTA Button / Button Group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Button</w:t>
            </w:r>
          </w:p>
        </w:tc>
        <w:tc>
          <w:tcPr>
            <w:tcW w:type="dxa" w:w="850"/>
            <w:shd w:fill="EEF1F8" w:val="clear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5"/>
              </w:rPr>
              <w:t>Primary (orange) and secondary (outline) actions: Get a Quote, Buy Online, How to Purchase, Consult an Advisor, Learn More.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All product/landing pages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C6</w:t>
            </w:r>
          </w:p>
        </w:tc>
        <w:tc>
          <w:tcPr>
            <w:tcW w:type="dxa" w:w="1701"/>
          </w:tcPr>
          <w:p>
            <w:r>
              <w:rPr>
                <w:sz w:val="15"/>
              </w:rPr>
              <w:t>Card / Teaser Grid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Teaser + Container (style variants)</w:t>
            </w:r>
          </w:p>
        </w:tc>
        <w:tc>
          <w:tcPr>
            <w:tcW w:type="dxa" w:w="850"/>
          </w:tcPr>
          <w:p>
            <w:r>
              <w:rPr>
                <w:sz w:val="15"/>
              </w:rPr>
              <w:t>Low–Medium</w:t>
            </w:r>
          </w:p>
        </w:tc>
        <w:tc>
          <w:tcPr>
            <w:tcW w:type="dxa" w:w="3402"/>
          </w:tcPr>
          <w:p>
            <w:r>
              <w:rPr>
                <w:sz w:val="15"/>
              </w:rPr>
              <w:t>Grids of image cards with title, optional text, and Learn More link. Multiple layout variants (2-up, 3-up) handled via style system.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finlithub, emma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C7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5"/>
              </w:rPr>
              <w:t>Feature / Coverage Icon Grid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Container + Teaser/Text + Image (icon)</w:t>
            </w:r>
          </w:p>
        </w:tc>
        <w:tc>
          <w:tcPr>
            <w:tcW w:type="dxa" w:w="850"/>
            <w:shd w:fill="EEF1F8" w:val="clear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5"/>
              </w:rPr>
              <w:t>Icon + label + description grid (e.g., Own Damage, Theft, Bodily Injury). Pure content.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car-insurance (metrobank/psbank)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C8</w:t>
            </w:r>
          </w:p>
        </w:tc>
        <w:tc>
          <w:tcPr>
            <w:tcW w:type="dxa" w:w="1701"/>
          </w:tcPr>
          <w:p>
            <w:r>
              <w:rPr>
                <w:sz w:val="15"/>
              </w:rPr>
              <w:t>Category Filter Tabs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Tabs / List with filter (custom JS)</w:t>
            </w:r>
          </w:p>
        </w:tc>
        <w:tc>
          <w:tcPr>
            <w:tcW w:type="dxa" w:w="850"/>
          </w:tcPr>
          <w:p>
            <w:r>
              <w:rPr>
                <w:sz w:val="15"/>
              </w:rPr>
              <w:t>Medium</w:t>
            </w:r>
          </w:p>
        </w:tc>
        <w:tc>
          <w:tcPr>
            <w:tcW w:type="dxa" w:w="3402"/>
          </w:tcPr>
          <w:p>
            <w:r>
              <w:rPr>
                <w:sz w:val="15"/>
              </w:rPr>
              <w:t>Tab/segment control filtering content (literacy categories; newsroom ALL/Newsroom/CSR). Client-side filtering.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finlithub, newsroom, articles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C9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5"/>
              </w:rPr>
              <w:t>In-page Section Tabs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Tabs</w:t>
            </w:r>
          </w:p>
        </w:tc>
        <w:tc>
          <w:tcPr>
            <w:tcW w:type="dxa" w:w="850"/>
            <w:shd w:fill="EEF1F8" w:val="clear"/>
          </w:tcPr>
          <w:p>
            <w:r>
              <w:rPr>
                <w:sz w:val="15"/>
              </w:rPr>
              <w:t>Low–Medium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5"/>
              </w:rPr>
              <w:t>Anchored content tabs (Activation/Coverage/Claim; Car Insurance/Coverage/Claims/Roadside/Speed/FAQs).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pa, pacard, car-insurance, healthstartlite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C10</w:t>
            </w:r>
          </w:p>
        </w:tc>
        <w:tc>
          <w:tcPr>
            <w:tcW w:type="dxa" w:w="1701"/>
          </w:tcPr>
          <w:p>
            <w:r>
              <w:rPr>
                <w:sz w:val="15"/>
              </w:rPr>
              <w:t>FAQ Accordion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Accordion</w:t>
            </w:r>
          </w:p>
        </w:tc>
        <w:tc>
          <w:tcPr>
            <w:tcW w:type="dxa" w:w="850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402"/>
          </w:tcPr>
          <w:p>
            <w:r>
              <w:rPr>
                <w:sz w:val="15"/>
              </w:rPr>
              <w:t>Expand/collapse Q&amp;A list. Direct mapping to Core Components Accordion.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car-insurance, emma/faq, healthstartlite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C11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5"/>
              </w:rPr>
              <w:t>Article List / Newsroom Feed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List + Content Fragments</w:t>
            </w:r>
          </w:p>
        </w:tc>
        <w:tc>
          <w:tcPr>
            <w:tcW w:type="dxa" w:w="850"/>
            <w:shd w:fill="EEF1F8" w:val="clear"/>
          </w:tcPr>
          <w:p>
            <w:r>
              <w:rPr>
                <w:sz w:val="15"/>
              </w:rPr>
              <w:t>Medium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5"/>
              </w:rPr>
              <w:t>Query-driven chronological list with date, title, excerpt, read-more, category filter, total count badge.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newsroom, articles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C12</w:t>
            </w:r>
          </w:p>
        </w:tc>
        <w:tc>
          <w:tcPr>
            <w:tcW w:type="dxa" w:w="1701"/>
          </w:tcPr>
          <w:p>
            <w:r>
              <w:rPr>
                <w:sz w:val="15"/>
              </w:rPr>
              <w:t>Quote / Purchase Form (multi-step)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Embed (SPA) or AEM Forms (adaptive)</w:t>
            </w:r>
          </w:p>
        </w:tc>
        <w:tc>
          <w:tcPr>
            <w:tcW w:type="dxa" w:w="850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402"/>
          </w:tcPr>
          <w:p>
            <w:r>
              <w:rPr>
                <w:sz w:val="15"/>
              </w:rPr>
              <w:t>Multi-step wizard: PEP question, cascading vehicle dropdowns, range slider, personal info, consent gating, premium calc, OTP, payment hand-off.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car-insurance, travel-insurance (all partners)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C13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5"/>
              </w:rPr>
              <w:t>Payment Form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Embed (SPA) or AEM Forms</w:t>
            </w:r>
          </w:p>
        </w:tc>
        <w:tc>
          <w:tcPr>
            <w:tcW w:type="dxa" w:w="850"/>
            <w:shd w:fill="EEF1F8" w:val="clea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402"/>
            <w:shd w:fill="EEF1F8" w:val="clear"/>
          </w:tcPr>
          <w:p>
            <w:r>
              <w:rPr>
                <w:sz w:val="15"/>
              </w:rPr>
              <w:t>Policy/PRN lookup + real-time status validation, currency toggle, amount range validation, reCAPTCHA, OTP modal, agreement checkbox, gateway redirect.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payments/premium-onetime, premium-recurring, premium-onetime-general-insurance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C14</w:t>
            </w:r>
          </w:p>
        </w:tc>
        <w:tc>
          <w:tcPr>
            <w:tcW w:type="dxa" w:w="1701"/>
          </w:tcPr>
          <w:p>
            <w:r>
              <w:rPr>
                <w:sz w:val="15"/>
              </w:rPr>
              <w:t>Activation / Registration Form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Embed (SPA) or AEM Forms</w:t>
            </w:r>
          </w:p>
        </w:tc>
        <w:tc>
          <w:tcPr>
            <w:tcW w:type="dxa" w:w="850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402"/>
          </w:tcPr>
          <w:p>
            <w:r>
              <w:rPr>
                <w:sz w:val="15"/>
              </w:rPr>
              <w:t>PIN/code entry + long application form, cascading PH province/city/barangay, beneficiary, occupation logic, consent, validation.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pa, pacard, axaprime, emma/login, emma/forgot-password</w:t>
            </w:r>
          </w:p>
        </w:tc>
      </w:tr>
    </w:tbl>
    <w:p/>
    <w:p>
      <w:r>
        <w:rPr>
          <w:i/>
          <w:sz w:val="17"/>
        </w:rPr>
        <w:t>Representative component screenshots are provided in Section 8 (Appendix).</w:t>
      </w:r>
    </w:p>
    <w:p>
      <w:r>
        <w:br w:type="page"/>
      </w:r>
    </w:p>
    <w:p>
      <w:pPr>
        <w:pStyle w:val="Heading1"/>
      </w:pPr>
      <w:r>
        <w:t>4. Page Counts by Template</w:t>
      </w:r>
    </w:p>
    <w:p>
      <w:r>
        <w:t>Counts are based on the 21 supplied URLs (20 live + 1 returning 404). "Automated" migration means content/layout can be largely scripted into AEM Core Components with minimal manual rework. "Manual" indicates dynamic SPA logic and integrations that must be rebuilt or re-embedded and tested by hand.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2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Template</w:t>
            </w:r>
          </w:p>
        </w:tc>
        <w:tc>
          <w:tcPr>
            <w:tcW w:type="dxa" w:w="1474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Pages (in scope)</w:t>
            </w:r>
          </w:p>
        </w:tc>
        <w:tc>
          <w:tcPr>
            <w:tcW w:type="dxa" w:w="1474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Migration Mode</w:t>
            </w:r>
          </w:p>
        </w:tc>
        <w:tc>
          <w:tcPr>
            <w:tcW w:type="dxa" w:w="3969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2721"/>
            <w:shd w:fill="EEF1F8" w:val="clear"/>
          </w:tcPr>
          <w:p>
            <w:r>
              <w:rPr>
                <w:sz w:val="16"/>
              </w:rPr>
              <w:t>T1 – Content / Literacy Hub Landing</w:t>
            </w:r>
          </w:p>
        </w:tc>
        <w:tc>
          <w:tcPr>
            <w:tcW w:type="dxa" w:w="1474"/>
            <w:shd w:fill="EEF1F8" w:val="clea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74"/>
            <w:shd w:fill="EEF1F8" w:val="clear"/>
          </w:tcPr>
          <w:p>
            <w:r>
              <w:rPr>
                <w:sz w:val="16"/>
              </w:rPr>
              <w:t>Automated</w:t>
            </w:r>
          </w:p>
        </w:tc>
        <w:tc>
          <w:tcPr>
            <w:tcW w:type="dxa" w:w="3969"/>
            <w:shd w:fill="EEF1F8" w:val="clear"/>
          </w:tcPr>
          <w:p>
            <w:r>
              <w:rPr>
                <w:sz w:val="16"/>
              </w:rPr>
              <w:t>Standardized, content-driven layout; minor JS (modal, filter).</w:t>
            </w:r>
          </w:p>
        </w:tc>
      </w:tr>
      <w:tr>
        <w:tc>
          <w:tcPr>
            <w:tcW w:type="dxa" w:w="2721"/>
          </w:tcPr>
          <w:p>
            <w:r>
              <w:rPr>
                <w:sz w:val="16"/>
              </w:rPr>
              <w:t>T2 – Product / Purchase (Bancassurance)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Manual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SPA quote engines, payment gateways, OTP, partner branding – custom logic + integrations.</w:t>
            </w:r>
          </w:p>
        </w:tc>
      </w:tr>
      <w:tr>
        <w:tc>
          <w:tcPr>
            <w:tcW w:type="dxa" w:w="2721"/>
            <w:shd w:fill="EEF1F8" w:val="clear"/>
          </w:tcPr>
          <w:p>
            <w:r>
              <w:rPr>
                <w:sz w:val="16"/>
              </w:rPr>
              <w:t>T3 – Payment Facility</w:t>
            </w:r>
          </w:p>
        </w:tc>
        <w:tc>
          <w:tcPr>
            <w:tcW w:type="dxa" w:w="1474"/>
            <w:shd w:fill="EEF1F8" w:val="clear"/>
          </w:tcPr>
          <w:p>
            <w:r>
              <w:rPr>
                <w:sz w:val="16"/>
              </w:rPr>
              <w:t>2 live (3 incl. 404)</w:t>
            </w:r>
          </w:p>
        </w:tc>
        <w:tc>
          <w:tcPr>
            <w:tcW w:type="dxa" w:w="1474"/>
            <w:shd w:fill="EEF1F8" w:val="clear"/>
          </w:tcPr>
          <w:p>
            <w:r>
              <w:rPr>
                <w:sz w:val="16"/>
              </w:rPr>
              <w:t>Manual</w:t>
            </w:r>
          </w:p>
        </w:tc>
        <w:tc>
          <w:tcPr>
            <w:tcW w:type="dxa" w:w="3969"/>
            <w:shd w:fill="EEF1F8" w:val="clear"/>
          </w:tcPr>
          <w:p>
            <w:r>
              <w:rPr>
                <w:sz w:val="16"/>
              </w:rPr>
              <w:t>Payment SPA, policy validation, reCAPTCHA, gateway hand-off. (premium-onetime-general-insurance is the 404 URL.)</w:t>
            </w:r>
          </w:p>
        </w:tc>
      </w:tr>
      <w:tr>
        <w:tc>
          <w:tcPr>
            <w:tcW w:type="dxa" w:w="2721"/>
          </w:tcPr>
          <w:p>
            <w:r>
              <w:rPr>
                <w:sz w:val="16"/>
              </w:rPr>
              <w:t>T4 – Product Activation (PA / Card)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Manual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Long application forms, cascading geography, PIN validation, PDF assets.</w:t>
            </w:r>
          </w:p>
        </w:tc>
      </w:tr>
      <w:tr>
        <w:tc>
          <w:tcPr>
            <w:tcW w:type="dxa" w:w="2721"/>
            <w:shd w:fill="EEF1F8" w:val="clear"/>
          </w:tcPr>
          <w:p>
            <w:r>
              <w:rPr>
                <w:sz w:val="16"/>
              </w:rPr>
              <w:t>T5 – Article Listing / Newsroom</w:t>
            </w:r>
          </w:p>
        </w:tc>
        <w:tc>
          <w:tcPr>
            <w:tcW w:type="dxa" w:w="1474"/>
            <w:shd w:fill="EEF1F8" w:val="clea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74"/>
            <w:shd w:fill="EEF1F8" w:val="clear"/>
          </w:tcPr>
          <w:p>
            <w:r>
              <w:rPr>
                <w:sz w:val="16"/>
              </w:rPr>
              <w:t>Automated (semi)</w:t>
            </w:r>
          </w:p>
        </w:tc>
        <w:tc>
          <w:tcPr>
            <w:tcW w:type="dxa" w:w="3969"/>
            <w:shd w:fill="EEF1F8" w:val="clear"/>
          </w:tcPr>
          <w:p>
            <w:r>
              <w:rPr>
                <w:sz w:val="16"/>
              </w:rPr>
              <w:t>Structured listings via List + Content Fragments; article bodies bulk-importable, filtering reconfigured.</w:t>
            </w:r>
          </w:p>
        </w:tc>
      </w:tr>
      <w:tr>
        <w:tc>
          <w:tcPr>
            <w:tcW w:type="dxa" w:w="2721"/>
          </w:tcPr>
          <w:p>
            <w:r>
              <w:rPr>
                <w:sz w:val="16"/>
              </w:rPr>
              <w:t>T6 – Account Portal / Auth (Emma) + axaprime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4 (+axaprime, +emma/faq)</w:t>
            </w:r>
          </w:p>
        </w:tc>
        <w:tc>
          <w:tcPr>
            <w:tcW w:type="dxa" w:w="1474"/>
          </w:tcPr>
          <w:p>
            <w:r>
              <w:rPr>
                <w:sz w:val="16"/>
              </w:rPr>
              <w:t>Manual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Authenticated SPA + back-end services; only marketing shell migrated. emma/faq accordion is semi-automated.</w:t>
            </w:r>
          </w:p>
        </w:tc>
      </w:tr>
      <w:tr>
        <w:tc>
          <w:tcPr>
            <w:tcW w:type="dxa" w:w="2721"/>
            <w:shd w:fill="EEF1F8" w:val="clear"/>
          </w:tcPr>
          <w:p>
            <w:r>
              <w:rPr>
                <w:sz w:val="16"/>
              </w:rPr>
              <w:t>TOTAL</w:t>
            </w:r>
          </w:p>
        </w:tc>
        <w:tc>
          <w:tcPr>
            <w:tcW w:type="dxa" w:w="1474"/>
            <w:shd w:fill="EEF1F8" w:val="clear"/>
          </w:tcPr>
          <w:p>
            <w:r>
              <w:rPr>
                <w:sz w:val="16"/>
              </w:rPr>
              <w:t>20 live (21 supplied)</w:t>
            </w:r>
          </w:p>
        </w:tc>
        <w:tc>
          <w:tcPr>
            <w:tcW w:type="dxa" w:w="1474"/>
            <w:shd w:fill="EEF1F8" w:val="clear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3969"/>
            <w:shd w:fill="EEF1F8" w:val="clear"/>
          </w:tcPr>
          <w:p>
            <w:r>
              <w:rPr>
                <w:sz w:val="16"/>
              </w:rPr>
              <w:t>~3–4 pages automatable; ~16–17 require manual/custom migration.</w:t>
            </w:r>
          </w:p>
        </w:tc>
      </w:tr>
    </w:tbl>
    <w:p>
      <w:pPr>
        <w:pStyle w:val="Heading2"/>
      </w:pPr>
      <w:r>
        <w:t>Summary</w:t>
      </w:r>
    </w:p>
    <w:p>
      <w:pPr>
        <w:pStyle w:val="ListBullet"/>
        <w:spacing w:after="40"/>
      </w:pPr>
      <w:r>
        <w:t>Automatable (low complexity, standardized): T1 + T5 → ~3–4 pages.</w:t>
      </w:r>
    </w:p>
    <w:p>
      <w:pPr>
        <w:pStyle w:val="ListBullet"/>
        <w:spacing w:after="40"/>
      </w:pPr>
      <w:r>
        <w:t>Manual / custom (dynamic SPA, integrations, auth): T2 + T3 + T4 + T6 → ~16–17 pages.</w:t>
      </w:r>
    </w:p>
    <w:p>
      <w:pPr>
        <w:pStyle w:val="ListBullet"/>
        <w:spacing w:after="40"/>
      </w:pPr>
      <w:r>
        <w:t>Because partner pages (Metrobank/PSBank) share a single template, the manual build effort is per-template, with partner instances created as fast configuration/branding variations.</w:t>
      </w:r>
    </w:p>
    <w:p>
      <w:r>
        <w:br w:type="page"/>
      </w:r>
    </w:p>
    <w:p>
      <w:pPr>
        <w:pStyle w:val="Heading1"/>
      </w:pPr>
      <w:r>
        <w:t>5. Integrations Analysis</w:t>
      </w:r>
    </w:p>
    <w:p>
      <w:r>
        <w:t>Third-party services and enterprise integrations observed via page behavior, embedded scripts, network/console activity, and content delivery hosts.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10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28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Integration</w:t>
            </w:r>
          </w:p>
        </w:tc>
        <w:tc>
          <w:tcPr>
            <w:tcW w:type="dxa" w:w="1134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907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3175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268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Where Used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I1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Prismic (headless CMS / image CDN)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API / CDN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Medium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Current content + media source (images.prismic.io, axa-philippines.cdn.prismic.io), PDF hosting. Content must be migrated INTO AEM.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finlithub, product pages, pa, articles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I2</w:t>
            </w:r>
          </w:p>
        </w:tc>
        <w:tc>
          <w:tcPr>
            <w:tcW w:type="dxa" w:w="1928"/>
          </w:tcPr>
          <w:p>
            <w:r>
              <w:rPr>
                <w:sz w:val="15"/>
              </w:rPr>
              <w:t>2C2P Payment Gateway</w:t>
            </w:r>
          </w:p>
        </w:tc>
        <w:tc>
          <w:tcPr>
            <w:tcW w:type="dxa" w:w="1134"/>
          </w:tcPr>
          <w:p>
            <w:r>
              <w:rPr>
                <w:sz w:val="15"/>
              </w:rPr>
              <w:t>API / redirect</w:t>
            </w:r>
          </w:p>
        </w:tc>
        <w:tc>
          <w:tcPr>
            <w:tcW w:type="dxa" w:w="907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175"/>
          </w:tcPr>
          <w:p>
            <w:r>
              <w:rPr>
                <w:sz w:val="15"/>
              </w:rPr>
              <w:t>Installment / card payments for product purchase and premiums.</w:t>
            </w:r>
          </w:p>
        </w:tc>
        <w:tc>
          <w:tcPr>
            <w:tcW w:type="dxa" w:w="2268"/>
          </w:tcPr>
          <w:p>
            <w:r>
              <w:rPr>
                <w:sz w:val="15"/>
              </w:rPr>
              <w:t>car-insurance, travel-insurance, payments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I3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PesoPay Payment Gateway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API / redirect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Full one-time payments.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car-insurance, travel-insurance, payments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I4</w:t>
            </w:r>
          </w:p>
        </w:tc>
        <w:tc>
          <w:tcPr>
            <w:tcW w:type="dxa" w:w="1928"/>
          </w:tcPr>
          <w:p>
            <w:r>
              <w:rPr>
                <w:sz w:val="15"/>
              </w:rPr>
              <w:t>ion.axa.com.ph Payment Service</w:t>
            </w:r>
          </w:p>
        </w:tc>
        <w:tc>
          <w:tcPr>
            <w:tcW w:type="dxa" w:w="1134"/>
          </w:tcPr>
          <w:p>
            <w:r>
              <w:rPr>
                <w:sz w:val="15"/>
              </w:rPr>
              <w:t>API</w:t>
            </w:r>
          </w:p>
        </w:tc>
        <w:tc>
          <w:tcPr>
            <w:tcW w:type="dxa" w:w="907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175"/>
          </w:tcPr>
          <w:p>
            <w:r>
              <w:rPr>
                <w:sz w:val="15"/>
              </w:rPr>
              <w:t>AXA payment/policy processing endpoint for premium payment flows.</w:t>
            </w:r>
          </w:p>
        </w:tc>
        <w:tc>
          <w:tcPr>
            <w:tcW w:type="dxa" w:w="2268"/>
          </w:tcPr>
          <w:p>
            <w:r>
              <w:rPr>
                <w:sz w:val="15"/>
              </w:rPr>
              <w:t>payments/*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I5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Google reCAPTCHA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Plugin / API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Low–Medium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Bot protection on payment and form submissions (vcRecaptchaApiLoaded).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payments, product/activation forms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I6</w:t>
            </w:r>
          </w:p>
        </w:tc>
        <w:tc>
          <w:tcPr>
            <w:tcW w:type="dxa" w:w="1928"/>
          </w:tcPr>
          <w:p>
            <w:r>
              <w:rPr>
                <w:sz w:val="15"/>
              </w:rPr>
              <w:t>OTP / SMS Verification Service</w:t>
            </w:r>
          </w:p>
        </w:tc>
        <w:tc>
          <w:tcPr>
            <w:tcW w:type="dxa" w:w="1134"/>
          </w:tcPr>
          <w:p>
            <w:r>
              <w:rPr>
                <w:sz w:val="15"/>
              </w:rPr>
              <w:t>API</w:t>
            </w:r>
          </w:p>
        </w:tc>
        <w:tc>
          <w:tcPr>
            <w:tcW w:type="dxa" w:w="907"/>
          </w:tcPr>
          <w:p>
            <w:r>
              <w:rPr>
                <w:sz w:val="15"/>
              </w:rPr>
              <w:t>Medium</w:t>
            </w:r>
          </w:p>
        </w:tc>
        <w:tc>
          <w:tcPr>
            <w:tcW w:type="dxa" w:w="3175"/>
          </w:tcPr>
          <w:p>
            <w:r>
              <w:rPr>
                <w:sz w:val="15"/>
              </w:rPr>
              <w:t>Mobile OTP (6-digit, 3-attempt limit) for payments and form verification.</w:t>
            </w:r>
          </w:p>
        </w:tc>
        <w:tc>
          <w:tcPr>
            <w:tcW w:type="dxa" w:w="2268"/>
          </w:tcPr>
          <w:p>
            <w:r>
              <w:rPr>
                <w:sz w:val="15"/>
              </w:rPr>
              <w:t>payments, product purchase, emma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I7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LiveChat (livechatinc.com)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Embed (iframe)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Customer support chat widget.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Most pages (global)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I8</w:t>
            </w:r>
          </w:p>
        </w:tc>
        <w:tc>
          <w:tcPr>
            <w:tcW w:type="dxa" w:w="1928"/>
          </w:tcPr>
          <w:p>
            <w:r>
              <w:rPr>
                <w:sz w:val="15"/>
              </w:rPr>
              <w:t>Google Analytics + Google Tag Manager</w:t>
            </w:r>
          </w:p>
        </w:tc>
        <w:tc>
          <w:tcPr>
            <w:tcW w:type="dxa" w:w="1134"/>
          </w:tcPr>
          <w:p>
            <w:r>
              <w:rPr>
                <w:sz w:val="15"/>
              </w:rPr>
              <w:t>Embed / tag</w:t>
            </w:r>
          </w:p>
        </w:tc>
        <w:tc>
          <w:tcPr>
            <w:tcW w:type="dxa" w:w="907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</w:tcPr>
          <w:p>
            <w:r>
              <w:rPr>
                <w:sz w:val="15"/>
              </w:rPr>
              <w:t>Web analytics and tag orchestration.</w:t>
            </w:r>
          </w:p>
        </w:tc>
        <w:tc>
          <w:tcPr>
            <w:tcW w:type="dxa" w:w="2268"/>
          </w:tcPr>
          <w:p>
            <w:r>
              <w:rPr>
                <w:sz w:val="15"/>
              </w:rPr>
              <w:t>All pages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I9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Microsoft Clarity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Embed / tag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Session recording / heatmaps (clarity.ms).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All pages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I10</w:t>
            </w:r>
          </w:p>
        </w:tc>
        <w:tc>
          <w:tcPr>
            <w:tcW w:type="dxa" w:w="1928"/>
          </w:tcPr>
          <w:p>
            <w:r>
              <w:rPr>
                <w:sz w:val="15"/>
              </w:rPr>
              <w:t>Bing UET (bat.bing.com)</w:t>
            </w:r>
          </w:p>
        </w:tc>
        <w:tc>
          <w:tcPr>
            <w:tcW w:type="dxa" w:w="1134"/>
          </w:tcPr>
          <w:p>
            <w:r>
              <w:rPr>
                <w:sz w:val="15"/>
              </w:rPr>
              <w:t>Embed / tag</w:t>
            </w:r>
          </w:p>
        </w:tc>
        <w:tc>
          <w:tcPr>
            <w:tcW w:type="dxa" w:w="907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</w:tcPr>
          <w:p>
            <w:r>
              <w:rPr>
                <w:sz w:val="15"/>
              </w:rPr>
              <w:t>Microsoft Ads conversion tracking.</w:t>
            </w:r>
          </w:p>
        </w:tc>
        <w:tc>
          <w:tcPr>
            <w:tcW w:type="dxa" w:w="2268"/>
          </w:tcPr>
          <w:p>
            <w:r>
              <w:rPr>
                <w:sz w:val="15"/>
              </w:rPr>
              <w:t>All pages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I11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DoubleClick / Google Ads (Floodlight)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Embed / tag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Ad conversion tracking (ad.doubleclick.net, fls.doubleclick.net).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All pages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I12</w:t>
            </w:r>
          </w:p>
        </w:tc>
        <w:tc>
          <w:tcPr>
            <w:tcW w:type="dxa" w:w="1928"/>
          </w:tcPr>
          <w:p>
            <w:r>
              <w:rPr>
                <w:sz w:val="15"/>
              </w:rPr>
              <w:t>Innity (avd.innity.net)</w:t>
            </w:r>
          </w:p>
        </w:tc>
        <w:tc>
          <w:tcPr>
            <w:tcW w:type="dxa" w:w="1134"/>
          </w:tcPr>
          <w:p>
            <w:r>
              <w:rPr>
                <w:sz w:val="15"/>
              </w:rPr>
              <w:t>Embed / tag</w:t>
            </w:r>
          </w:p>
        </w:tc>
        <w:tc>
          <w:tcPr>
            <w:tcW w:type="dxa" w:w="907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</w:tcPr>
          <w:p>
            <w:r>
              <w:rPr>
                <w:sz w:val="15"/>
              </w:rPr>
              <w:t>Ad network / audience tracking.</w:t>
            </w:r>
          </w:p>
        </w:tc>
        <w:tc>
          <w:tcPr>
            <w:tcW w:type="dxa" w:w="2268"/>
          </w:tcPr>
          <w:p>
            <w:r>
              <w:rPr>
                <w:sz w:val="15"/>
              </w:rPr>
              <w:t>emma, marketing pages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I13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Azure Application Insights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API / tag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Front-end telemetry (dc.services.visualstudio.com).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emma portal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I14</w:t>
            </w:r>
          </w:p>
        </w:tc>
        <w:tc>
          <w:tcPr>
            <w:tcW w:type="dxa" w:w="1928"/>
          </w:tcPr>
          <w:p>
            <w:r>
              <w:rPr>
                <w:sz w:val="15"/>
              </w:rPr>
              <w:t>App Store / Google Play Links</w:t>
            </w:r>
          </w:p>
        </w:tc>
        <w:tc>
          <w:tcPr>
            <w:tcW w:type="dxa" w:w="1134"/>
          </w:tcPr>
          <w:p>
            <w:r>
              <w:rPr>
                <w:sz w:val="15"/>
              </w:rPr>
              <w:t>Link / embed</w:t>
            </w:r>
          </w:p>
        </w:tc>
        <w:tc>
          <w:tcPr>
            <w:tcW w:type="dxa" w:w="907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</w:tcPr>
          <w:p>
            <w:r>
              <w:rPr>
                <w:sz w:val="15"/>
              </w:rPr>
              <w:t>Emma mobile app distribution.</w:t>
            </w:r>
          </w:p>
        </w:tc>
        <w:tc>
          <w:tcPr>
            <w:tcW w:type="dxa" w:w="2268"/>
          </w:tcPr>
          <w:p>
            <w:r>
              <w:rPr>
                <w:sz w:val="15"/>
              </w:rPr>
              <w:t>emma, emma/login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I15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AXA Account / Policy Back-end (Emma)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REST API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Authentication, policy data, advisors, e-notiXes, fund values – enterprise system integration.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emma, emma/login, emma/forgot-password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I16</w:t>
            </w:r>
          </w:p>
        </w:tc>
        <w:tc>
          <w:tcPr>
            <w:tcW w:type="dxa" w:w="1928"/>
          </w:tcPr>
          <w:p>
            <w:r>
              <w:rPr>
                <w:sz w:val="15"/>
              </w:rPr>
              <w:t>Social Media Platforms</w:t>
            </w:r>
          </w:p>
        </w:tc>
        <w:tc>
          <w:tcPr>
            <w:tcW w:type="dxa" w:w="1134"/>
          </w:tcPr>
          <w:p>
            <w:r>
              <w:rPr>
                <w:sz w:val="15"/>
              </w:rPr>
              <w:t>Link / embed</w:t>
            </w:r>
          </w:p>
        </w:tc>
        <w:tc>
          <w:tcPr>
            <w:tcW w:type="dxa" w:w="907"/>
          </w:tcPr>
          <w:p>
            <w:r>
              <w:rPr>
                <w:sz w:val="15"/>
              </w:rPr>
              <w:t>Low</w:t>
            </w:r>
          </w:p>
        </w:tc>
        <w:tc>
          <w:tcPr>
            <w:tcW w:type="dxa" w:w="3175"/>
          </w:tcPr>
          <w:p>
            <w:r>
              <w:rPr>
                <w:sz w:val="15"/>
              </w:rPr>
              <w:t>Facebook, X, YouTube, LinkedIn, Instagram brand links.</w:t>
            </w:r>
          </w:p>
        </w:tc>
        <w:tc>
          <w:tcPr>
            <w:tcW w:type="dxa" w:w="2268"/>
          </w:tcPr>
          <w:p>
            <w:r>
              <w:rPr>
                <w:sz w:val="15"/>
              </w:rPr>
              <w:t>All pages (footer)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I17</w:t>
            </w:r>
          </w:p>
        </w:tc>
        <w:tc>
          <w:tcPr>
            <w:tcW w:type="dxa" w:w="1928"/>
            <w:shd w:fill="EEF1F8" w:val="clear"/>
          </w:tcPr>
          <w:p>
            <w:r>
              <w:rPr>
                <w:sz w:val="15"/>
              </w:rPr>
              <w:t>frossa form validation framework</w:t>
            </w:r>
          </w:p>
        </w:tc>
        <w:tc>
          <w:tcPr>
            <w:tcW w:type="dxa" w:w="1134"/>
            <w:shd w:fill="EEF1F8" w:val="clear"/>
          </w:tcPr>
          <w:p>
            <w:r>
              <w:rPr>
                <w:sz w:val="15"/>
              </w:rPr>
              <w:t>Custom code</w:t>
            </w:r>
          </w:p>
        </w:tc>
        <w:tc>
          <w:tcPr>
            <w:tcW w:type="dxa" w:w="907"/>
            <w:shd w:fill="EEF1F8" w:val="clear"/>
          </w:tcPr>
          <w:p>
            <w:r>
              <w:rPr>
                <w:sz w:val="15"/>
              </w:rPr>
              <w:t>Low–Medium</w:t>
            </w:r>
          </w:p>
        </w:tc>
        <w:tc>
          <w:tcPr>
            <w:tcW w:type="dxa" w:w="3175"/>
            <w:shd w:fill="EEF1F8" w:val="clear"/>
          </w:tcPr>
          <w:p>
            <w:r>
              <w:rPr>
                <w:sz w:val="15"/>
              </w:rPr>
              <w:t>Client-side validation framework powering AngularJS forms.</w:t>
            </w:r>
          </w:p>
        </w:tc>
        <w:tc>
          <w:tcPr>
            <w:tcW w:type="dxa" w:w="2268"/>
            <w:shd w:fill="EEF1F8" w:val="clear"/>
          </w:tcPr>
          <w:p>
            <w:r>
              <w:rPr>
                <w:sz w:val="15"/>
              </w:rPr>
              <w:t>axaprime, forms</w:t>
            </w:r>
          </w:p>
        </w:tc>
      </w:tr>
    </w:tbl>
    <w:p>
      <w:pPr>
        <w:pStyle w:val="Heading2"/>
      </w:pPr>
      <w:r>
        <w:t>Enterprise / REST Integration Notes</w:t>
      </w:r>
    </w:p>
    <w:p>
      <w:pPr>
        <w:pStyle w:val="ListBullet"/>
        <w:spacing w:after="40"/>
      </w:pPr>
      <w:r>
        <w:t>Payment flows depend on at least three transaction services (2C2P, PesoPay, ion.axa.com.ph) plus OTP – the highest-risk integration cluster for migration.</w:t>
      </w:r>
    </w:p>
    <w:p>
      <w:pPr>
        <w:pStyle w:val="ListBullet"/>
        <w:spacing w:after="40"/>
      </w:pPr>
      <w:r>
        <w:t>The Emma portal integrates with AXA core policy/account systems via REST APIs; these remain owned by the existing application and are out of scope for CMS content migration.</w:t>
      </w:r>
    </w:p>
    <w:p>
      <w:pPr>
        <w:pStyle w:val="ListBullet"/>
        <w:spacing w:after="40"/>
      </w:pPr>
      <w:r>
        <w:t>Marketing/analytics tags (GA, GTM, Clarity, Bing, DoubleClick, Innity, App Insights) are re-applied through AEM’s page-level tag management / GTM container with minimal effort.</w:t>
      </w:r>
    </w:p>
    <w:p>
      <w:pPr>
        <w:pStyle w:val="ListBullet"/>
        <w:spacing w:after="40"/>
      </w:pPr>
      <w:r>
        <w:t>Prismic is the current content backend; the migration’s automatable effort centers on extracting Prismic content and re-authoring it into AEM Content Fragments / Core Components.</w:t>
      </w:r>
    </w:p>
    <w:p>
      <w:r>
        <w:br w:type="page"/>
      </w:r>
    </w:p>
    <w:p>
      <w:pPr>
        <w:pStyle w:val="Heading1"/>
      </w:pPr>
      <w:r>
        <w:t>6. Complex Use Cases &amp; Observations</w:t>
      </w:r>
    </w:p>
    <w:p>
      <w:r>
        <w:t>Behaviours and edge cases requiring special attention during migration, quantified by occurrence.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0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04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Use Case</w:t>
            </w:r>
          </w:p>
        </w:tc>
        <w:tc>
          <w:tcPr>
            <w:tcW w:type="dxa" w:w="1247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Instances</w:t>
            </w:r>
          </w:p>
        </w:tc>
        <w:tc>
          <w:tcPr>
            <w:tcW w:type="dxa" w:w="2494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Where Found</w:t>
            </w:r>
          </w:p>
        </w:tc>
        <w:tc>
          <w:tcPr>
            <w:tcW w:type="dxa" w:w="3628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 It’s Complex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U1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Multi-step quote/purchase wizard with premium calculation</w:t>
            </w:r>
          </w:p>
        </w:tc>
        <w:tc>
          <w:tcPr>
            <w:tcW w:type="dxa" w:w="1247"/>
            <w:shd w:fill="EEF1F8" w:val="clear"/>
          </w:tcPr>
          <w:p>
            <w:r>
              <w:rPr>
                <w:sz w:val="15"/>
              </w:rPr>
              <w:t>6 pages (1 template)</w:t>
            </w:r>
          </w:p>
        </w:tc>
        <w:tc>
          <w:tcPr>
            <w:tcW w:type="dxa" w:w="2494"/>
            <w:shd w:fill="EEF1F8" w:val="clear"/>
          </w:tcPr>
          <w:p>
            <w:r>
              <w:rPr>
                <w:sz w:val="15"/>
              </w:rPr>
              <w:t>car-insurance &amp; travel-insurance (Metrobank/PSBank)</w:t>
            </w:r>
          </w:p>
        </w:tc>
        <w:tc>
          <w:tcPr>
            <w:tcW w:type="dxa" w:w="3628"/>
            <w:shd w:fill="EEF1F8" w:val="clear"/>
          </w:tcPr>
          <w:p>
            <w:r>
              <w:rPr>
                <w:sz w:val="15"/>
              </w:rPr>
              <w:t>Cascading dropdowns (brand→model→variant), range slider, real-time premium computation, conditional coverage (loan triggers AON), payment hand-off.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U2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Online payment with policy lookup &amp; status logic</w:t>
            </w:r>
          </w:p>
        </w:tc>
        <w:tc>
          <w:tcPr>
            <w:tcW w:type="dxa" w:w="1247"/>
          </w:tcPr>
          <w:p>
            <w:r>
              <w:rPr>
                <w:sz w:val="15"/>
              </w:rPr>
              <w:t>2 live (3 incl. 404)</w:t>
            </w:r>
          </w:p>
        </w:tc>
        <w:tc>
          <w:tcPr>
            <w:tcW w:type="dxa" w:w="2494"/>
          </w:tcPr>
          <w:p>
            <w:r>
              <w:rPr>
                <w:sz w:val="15"/>
              </w:rPr>
              <w:t>payments/premium-onetime, premium-recurring, premium-onetime-general-insurance</w:t>
            </w:r>
          </w:p>
        </w:tc>
        <w:tc>
          <w:tcPr>
            <w:tcW w:type="dxa" w:w="3628"/>
          </w:tcPr>
          <w:p>
            <w:r>
              <w:rPr>
                <w:sz w:val="15"/>
              </w:rPr>
              <w:t>PRN/policy validation with contextual states (lapsed, paid-up, no loan), currency/forex rules, amount range checks, gateway redirect.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U3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OTP / SMS verification with retry limiting</w:t>
            </w:r>
          </w:p>
        </w:tc>
        <w:tc>
          <w:tcPr>
            <w:tcW w:type="dxa" w:w="1247"/>
            <w:shd w:fill="EEF1F8" w:val="clear"/>
          </w:tcPr>
          <w:p>
            <w:r>
              <w:rPr>
                <w:sz w:val="15"/>
              </w:rPr>
              <w:t>Multiple (payments + purchase + emma)</w:t>
            </w:r>
          </w:p>
        </w:tc>
        <w:tc>
          <w:tcPr>
            <w:tcW w:type="dxa" w:w="2494"/>
            <w:shd w:fill="EEF1F8" w:val="clear"/>
          </w:tcPr>
          <w:p>
            <w:r>
              <w:rPr>
                <w:sz w:val="15"/>
              </w:rPr>
              <w:t>payments, product purchase, emma flows</w:t>
            </w:r>
          </w:p>
        </w:tc>
        <w:tc>
          <w:tcPr>
            <w:tcW w:type="dxa" w:w="3628"/>
            <w:shd w:fill="EEF1F8" w:val="clear"/>
          </w:tcPr>
          <w:p>
            <w:r>
              <w:rPr>
                <w:sz w:val="15"/>
              </w:rPr>
              <w:t>6-digit OTP, masked number, 3-attempt cap, resend logic, session-bound state.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U4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Authenticated account portal</w:t>
            </w:r>
          </w:p>
        </w:tc>
        <w:tc>
          <w:tcPr>
            <w:tcW w:type="dxa" w:w="1247"/>
          </w:tcPr>
          <w:p>
            <w:r>
              <w:rPr>
                <w:sz w:val="15"/>
              </w:rPr>
              <w:t>3+ pages</w:t>
            </w:r>
          </w:p>
        </w:tc>
        <w:tc>
          <w:tcPr>
            <w:tcW w:type="dxa" w:w="2494"/>
          </w:tcPr>
          <w:p>
            <w:r>
              <w:rPr>
                <w:sz w:val="15"/>
              </w:rPr>
              <w:t>emma, emma/login, emma/forgot-password</w:t>
            </w:r>
          </w:p>
        </w:tc>
        <w:tc>
          <w:tcPr>
            <w:tcW w:type="dxa" w:w="3628"/>
          </w:tcPr>
          <w:p>
            <w:r>
              <w:rPr>
                <w:sz w:val="15"/>
              </w:rPr>
              <w:t>Login (5-attempt lockout), multi-step registration with policy verification + security questions, 15-min email link expiry, role/auth-gated dashboards.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U5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Long application forms with PH geography cascades</w:t>
            </w:r>
          </w:p>
        </w:tc>
        <w:tc>
          <w:tcPr>
            <w:tcW w:type="dxa" w:w="1247"/>
            <w:shd w:fill="EEF1F8" w:val="clear"/>
          </w:tcPr>
          <w:p>
            <w:r>
              <w:rPr>
                <w:sz w:val="15"/>
              </w:rPr>
              <w:t>3 pages</w:t>
            </w:r>
          </w:p>
        </w:tc>
        <w:tc>
          <w:tcPr>
            <w:tcW w:type="dxa" w:w="2494"/>
            <w:shd w:fill="EEF1F8" w:val="clear"/>
          </w:tcPr>
          <w:p>
            <w:r>
              <w:rPr>
                <w:sz w:val="15"/>
              </w:rPr>
              <w:t>pa, pa/nba, pacard</w:t>
            </w:r>
          </w:p>
        </w:tc>
        <w:tc>
          <w:tcPr>
            <w:tcW w:type="dxa" w:w="3628"/>
            <w:shd w:fill="EEF1F8" w:val="clear"/>
          </w:tcPr>
          <w:p>
            <w:r>
              <w:rPr>
                <w:sz w:val="15"/>
              </w:rPr>
              <w:t>Province→city→barangay cascades, beneficiary/occupation conditional fields, PIN/PA-code activation, downloadable PDF claim forms.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U6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Client-side category filtering</w:t>
            </w:r>
          </w:p>
        </w:tc>
        <w:tc>
          <w:tcPr>
            <w:tcW w:type="dxa" w:w="1247"/>
          </w:tcPr>
          <w:p>
            <w:r>
              <w:rPr>
                <w:sz w:val="15"/>
              </w:rPr>
              <w:t>3 pages</w:t>
            </w:r>
          </w:p>
        </w:tc>
        <w:tc>
          <w:tcPr>
            <w:tcW w:type="dxa" w:w="2494"/>
          </w:tcPr>
          <w:p>
            <w:r>
              <w:rPr>
                <w:sz w:val="15"/>
              </w:rPr>
              <w:t>finlithub, newsroom, articles</w:t>
            </w:r>
          </w:p>
        </w:tc>
        <w:tc>
          <w:tcPr>
            <w:tcW w:type="dxa" w:w="3628"/>
          </w:tcPr>
          <w:p>
            <w:r>
              <w:rPr>
                <w:sz w:val="15"/>
              </w:rPr>
              <w:t>Dynamic filter/sort of content lists; must be reproduced via AEM List query + JS or search.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U7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Partner co-branding variations</w:t>
            </w:r>
          </w:p>
        </w:tc>
        <w:tc>
          <w:tcPr>
            <w:tcW w:type="dxa" w:w="1247"/>
            <w:shd w:fill="EEF1F8" w:val="clear"/>
          </w:tcPr>
          <w:p>
            <w:r>
              <w:rPr>
                <w:sz w:val="15"/>
              </w:rPr>
              <w:t>5+ pages</w:t>
            </w:r>
          </w:p>
        </w:tc>
        <w:tc>
          <w:tcPr>
            <w:tcW w:type="dxa" w:w="2494"/>
            <w:shd w:fill="EEF1F8" w:val="clear"/>
          </w:tcPr>
          <w:p>
            <w:r>
              <w:rPr>
                <w:sz w:val="15"/>
              </w:rPr>
              <w:t>all /partners/metrobank and /partners/psbank URLs</w:t>
            </w:r>
          </w:p>
        </w:tc>
        <w:tc>
          <w:tcPr>
            <w:tcW w:type="dxa" w:w="3628"/>
            <w:shd w:fill="EEF1F8" w:val="clear"/>
          </w:tcPr>
          <w:p>
            <w:r>
              <w:rPr>
                <w:sz w:val="15"/>
              </w:rPr>
              <w:t>Same template, partner-specific logos, credit-card art, installment offers, and legal disclaimers – requires templating + Experience Fragments + variation strategy.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U8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AngularJS SPA rendering</w:t>
            </w:r>
          </w:p>
        </w:tc>
        <w:tc>
          <w:tcPr>
            <w:tcW w:type="dxa" w:w="1247"/>
          </w:tcPr>
          <w:p>
            <w:r>
              <w:rPr>
                <w:sz w:val="15"/>
              </w:rPr>
              <w:t>Most transactional pages</w:t>
            </w:r>
          </w:p>
        </w:tc>
        <w:tc>
          <w:tcPr>
            <w:tcW w:type="dxa" w:w="2494"/>
          </w:tcPr>
          <w:p>
            <w:r>
              <w:rPr>
                <w:sz w:val="15"/>
              </w:rPr>
              <w:t>product, payment, activation, emma</w:t>
            </w:r>
          </w:p>
        </w:tc>
        <w:tc>
          <w:tcPr>
            <w:tcW w:type="dxa" w:w="3628"/>
          </w:tcPr>
          <w:p>
            <w:r>
              <w:rPr>
                <w:sz w:val="15"/>
              </w:rPr>
              <w:t>Content rendered client-side ({\[{ }\]} bindings); not present in initial HTML – blocks naive scraping/auto-import and requires SPA Editor or Embed approach.</w:t>
            </w:r>
          </w:p>
        </w:tc>
      </w:tr>
      <w:tr>
        <w:tc>
          <w:tcPr>
            <w:tcW w:type="dxa" w:w="510"/>
            <w:shd w:fill="EEF1F8" w:val="clear"/>
          </w:tcPr>
          <w:p>
            <w:r>
              <w:rPr>
                <w:sz w:val="15"/>
              </w:rPr>
              <w:t>U9</w:t>
            </w:r>
          </w:p>
        </w:tc>
        <w:tc>
          <w:tcPr>
            <w:tcW w:type="dxa" w:w="2041"/>
            <w:shd w:fill="EEF1F8" w:val="clear"/>
          </w:tcPr>
          <w:p>
            <w:r>
              <w:rPr>
                <w:sz w:val="15"/>
              </w:rPr>
              <w:t>Onboarding / welcome modal</w:t>
            </w:r>
          </w:p>
        </w:tc>
        <w:tc>
          <w:tcPr>
            <w:tcW w:type="dxa" w:w="1247"/>
            <w:shd w:fill="EEF1F8" w:val="clear"/>
          </w:tcPr>
          <w:p>
            <w:r>
              <w:rPr>
                <w:sz w:val="15"/>
              </w:rPr>
              <w:t>1 page</w:t>
            </w:r>
          </w:p>
        </w:tc>
        <w:tc>
          <w:tcPr>
            <w:tcW w:type="dxa" w:w="2494"/>
            <w:shd w:fill="EEF1F8" w:val="clear"/>
          </w:tcPr>
          <w:p>
            <w:r>
              <w:rPr>
                <w:sz w:val="15"/>
              </w:rPr>
              <w:t>finlithub</w:t>
            </w:r>
          </w:p>
        </w:tc>
        <w:tc>
          <w:tcPr>
            <w:tcW w:type="dxa" w:w="3628"/>
            <w:shd w:fill="EEF1F8" w:val="clear"/>
          </w:tcPr>
          <w:p>
            <w:r>
              <w:rPr>
                <w:sz w:val="15"/>
              </w:rPr>
              <w:t>Multi-slide intro dialog with state; minor but needs reproduction or removal decision.</w:t>
            </w:r>
          </w:p>
        </w:tc>
      </w:tr>
      <w:tr>
        <w:tc>
          <w:tcPr>
            <w:tcW w:type="dxa" w:w="510"/>
          </w:tcPr>
          <w:p>
            <w:r>
              <w:rPr>
                <w:sz w:val="15"/>
              </w:rPr>
              <w:t>U10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Headless content in Prismic</w:t>
            </w:r>
          </w:p>
        </w:tc>
        <w:tc>
          <w:tcPr>
            <w:tcW w:type="dxa" w:w="1247"/>
          </w:tcPr>
          <w:p>
            <w:r>
              <w:rPr>
                <w:sz w:val="15"/>
              </w:rPr>
              <w:t>Site-wide</w:t>
            </w:r>
          </w:p>
        </w:tc>
        <w:tc>
          <w:tcPr>
            <w:tcW w:type="dxa" w:w="2494"/>
          </w:tcPr>
          <w:p>
            <w:r>
              <w:rPr>
                <w:sz w:val="15"/>
              </w:rPr>
              <w:t>all content pages</w:t>
            </w:r>
          </w:p>
        </w:tc>
        <w:tc>
          <w:tcPr>
            <w:tcW w:type="dxa" w:w="3628"/>
          </w:tcPr>
          <w:p>
            <w:r>
              <w:rPr>
                <w:sz w:val="15"/>
              </w:rPr>
              <w:t>Content + assets must be extracted from Prismic and re-modeled into AEM; no direct AEM source exists.</w:t>
            </w:r>
          </w:p>
        </w:tc>
      </w:tr>
    </w:tbl>
    <w:p>
      <w:r>
        <w:br w:type="page"/>
      </w:r>
    </w:p>
    <w:p>
      <w:pPr>
        <w:pStyle w:val="Heading1"/>
      </w:pPr>
      <w:r>
        <w:t>7. Migration Estimates</w:t>
      </w:r>
    </w:p>
    <w:p>
      <w:r>
        <w:t>Estimates assume migration to AEM as a Cloud Service using Core Components, with editable templates, Experience Fragments, and Content Fragments. Transactional SPAs are re-embedded (not rewritten from scratch) unless AXA mandates a full rebuild. Ranges reflect uncertainty around back-end/API access and final design fidelity. Effort is in person-days (1 day = 8 hours); a blended rate of USD 75/hour is used for indicative cost.</w:t>
      </w:r>
    </w:p>
    <w:p>
      <w:pPr>
        <w:pStyle w:val="Heading2"/>
      </w:pPr>
      <w:r>
        <w:t>7.1 Effort by Work Stream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Work Stream</w:t>
            </w:r>
          </w:p>
        </w:tc>
        <w:tc>
          <w:tcPr>
            <w:tcW w:type="dxa" w:w="5386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70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Effort (person-days)</w:t>
            </w:r>
          </w:p>
        </w:tc>
      </w:tr>
      <w:tr>
        <w:tc>
          <w:tcPr>
            <w:tcW w:type="dxa" w:w="2381"/>
            <w:shd w:fill="EEF1F8" w:val="clear"/>
          </w:tcPr>
          <w:p>
            <w:r>
              <w:rPr>
                <w:sz w:val="16"/>
              </w:rPr>
              <w:t>Foundation &amp; Setup</w:t>
            </w:r>
          </w:p>
        </w:tc>
        <w:tc>
          <w:tcPr>
            <w:tcW w:type="dxa" w:w="5386"/>
            <w:shd w:fill="EEF1F8" w:val="clear"/>
          </w:tcPr>
          <w:p>
            <w:r>
              <w:rPr>
                <w:sz w:val="16"/>
              </w:rPr>
              <w:t>AEM Cloud project setup, editable templates, design system, header/footer Experience Fragments, tag management.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6"/>
              </w:rPr>
              <w:t>8–12</w:t>
            </w:r>
          </w:p>
        </w:tc>
      </w:tr>
      <w:tr>
        <w:tc>
          <w:tcPr>
            <w:tcW w:type="dxa" w:w="2381"/>
          </w:tcPr>
          <w:p>
            <w:r>
              <w:rPr>
                <w:sz w:val="16"/>
              </w:rPr>
              <w:t>Automated Content Migration</w:t>
            </w:r>
          </w:p>
        </w:tc>
        <w:tc>
          <w:tcPr>
            <w:tcW w:type="dxa" w:w="5386"/>
          </w:tcPr>
          <w:p>
            <w:r>
              <w:rPr>
                <w:sz w:val="16"/>
              </w:rPr>
              <w:t>Extract Prismic content; bulk-import T1 + T5 (literacy hub, newsroom, articles) into Core Components / Content Fragments.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5–8</w:t>
            </w:r>
          </w:p>
        </w:tc>
      </w:tr>
      <w:tr>
        <w:tc>
          <w:tcPr>
            <w:tcW w:type="dxa" w:w="2381"/>
            <w:shd w:fill="EEF1F8" w:val="clear"/>
          </w:tcPr>
          <w:p>
            <w:r>
              <w:rPr>
                <w:sz w:val="16"/>
              </w:rPr>
              <w:t>T2 Product/Purchase template</w:t>
            </w:r>
          </w:p>
        </w:tc>
        <w:tc>
          <w:tcPr>
            <w:tcW w:type="dxa" w:w="5386"/>
            <w:shd w:fill="EEF1F8" w:val="clear"/>
          </w:tcPr>
          <w:p>
            <w:r>
              <w:rPr>
                <w:sz w:val="16"/>
              </w:rPr>
              <w:t>Build template + embed/rebuild quote SPA, partner variations (6 instances), payment + OTP integration.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6"/>
              </w:rPr>
              <w:t>20–28</w:t>
            </w:r>
          </w:p>
        </w:tc>
      </w:tr>
      <w:tr>
        <w:tc>
          <w:tcPr>
            <w:tcW w:type="dxa" w:w="2381"/>
          </w:tcPr>
          <w:p>
            <w:r>
              <w:rPr>
                <w:sz w:val="16"/>
              </w:rPr>
              <w:t>T3 Payment template</w:t>
            </w:r>
          </w:p>
        </w:tc>
        <w:tc>
          <w:tcPr>
            <w:tcW w:type="dxa" w:w="5386"/>
          </w:tcPr>
          <w:p>
            <w:r>
              <w:rPr>
                <w:sz w:val="16"/>
              </w:rPr>
              <w:t>Payment forms, policy lookup, reCAPTCHA, gateway + OTP integration, validation.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12–18</w:t>
            </w:r>
          </w:p>
        </w:tc>
      </w:tr>
      <w:tr>
        <w:tc>
          <w:tcPr>
            <w:tcW w:type="dxa" w:w="2381"/>
            <w:shd w:fill="EEF1F8" w:val="clear"/>
          </w:tcPr>
          <w:p>
            <w:r>
              <w:rPr>
                <w:sz w:val="16"/>
              </w:rPr>
              <w:t>T4 Activation template</w:t>
            </w:r>
          </w:p>
        </w:tc>
        <w:tc>
          <w:tcPr>
            <w:tcW w:type="dxa" w:w="5386"/>
            <w:shd w:fill="EEF1F8" w:val="clear"/>
          </w:tcPr>
          <w:p>
            <w:r>
              <w:rPr>
                <w:sz w:val="16"/>
              </w:rPr>
              <w:t>Tabbed activation pages, long forms, geography cascades, PDF assets (3 instances).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6"/>
              </w:rPr>
              <w:t>10–14</w:t>
            </w:r>
          </w:p>
        </w:tc>
      </w:tr>
      <w:tr>
        <w:tc>
          <w:tcPr>
            <w:tcW w:type="dxa" w:w="2381"/>
          </w:tcPr>
          <w:p>
            <w:r>
              <w:rPr>
                <w:sz w:val="16"/>
              </w:rPr>
              <w:t>T6 Emma shell + axaprime</w:t>
            </w:r>
          </w:p>
        </w:tc>
        <w:tc>
          <w:tcPr>
            <w:tcW w:type="dxa" w:w="5386"/>
          </w:tcPr>
          <w:p>
            <w:r>
              <w:rPr>
                <w:sz w:val="16"/>
              </w:rPr>
              <w:t>Marketing shell + SSO/deep-links to existing portal; recruitment landing form.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6–10</w:t>
            </w:r>
          </w:p>
        </w:tc>
      </w:tr>
      <w:tr>
        <w:tc>
          <w:tcPr>
            <w:tcW w:type="dxa" w:w="2381"/>
            <w:shd w:fill="EEF1F8" w:val="clear"/>
          </w:tcPr>
          <w:p>
            <w:r>
              <w:rPr>
                <w:sz w:val="16"/>
              </w:rPr>
              <w:t>Integrations &amp; martech</w:t>
            </w:r>
          </w:p>
        </w:tc>
        <w:tc>
          <w:tcPr>
            <w:tcW w:type="dxa" w:w="5386"/>
            <w:shd w:fill="EEF1F8" w:val="clear"/>
          </w:tcPr>
          <w:p>
            <w:r>
              <w:rPr>
                <w:sz w:val="16"/>
              </w:rPr>
              <w:t>Re-wire GA/GTM/Clarity/Bing/DoubleClick/Innity/App Insights, LiveChat, payment &amp; OTP services.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6"/>
              </w:rPr>
              <w:t>8–12</w:t>
            </w:r>
          </w:p>
        </w:tc>
      </w:tr>
      <w:tr>
        <w:tc>
          <w:tcPr>
            <w:tcW w:type="dxa" w:w="2381"/>
          </w:tcPr>
          <w:p>
            <w:r>
              <w:rPr>
                <w:sz w:val="16"/>
              </w:rPr>
              <w:t>Component styling &amp; QA-fix</w:t>
            </w:r>
          </w:p>
        </w:tc>
        <w:tc>
          <w:tcPr>
            <w:tcW w:type="dxa" w:w="5386"/>
          </w:tcPr>
          <w:p>
            <w:r>
              <w:rPr>
                <w:sz w:val="16"/>
              </w:rPr>
              <w:t>Style variations, responsive parity, co-branding fidelity.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6–10</w:t>
            </w:r>
          </w:p>
        </w:tc>
      </w:tr>
    </w:tbl>
    <w:p>
      <w:pPr>
        <w:pStyle w:val="Heading2"/>
      </w:pPr>
      <w:r>
        <w:t>7.2 Consolidated Estimate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969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55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Effort (person-days)</w:t>
            </w:r>
          </w:p>
        </w:tc>
        <w:tc>
          <w:tcPr>
            <w:tcW w:type="dxa" w:w="2948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Indicative Cost (USD @ $75/hr)</w:t>
            </w:r>
          </w:p>
        </w:tc>
      </w:tr>
      <w:tr>
        <w:tc>
          <w:tcPr>
            <w:tcW w:type="dxa" w:w="3969"/>
            <w:shd w:fill="EEF1F8" w:val="clear"/>
          </w:tcPr>
          <w:p>
            <w:r>
              <w:rPr>
                <w:sz w:val="17"/>
              </w:rPr>
              <w:t>Automated migration (T1, T5, content extract, setup)</w:t>
            </w:r>
          </w:p>
        </w:tc>
        <w:tc>
          <w:tcPr>
            <w:tcW w:type="dxa" w:w="2551"/>
            <w:shd w:fill="EEF1F8" w:val="clear"/>
          </w:tcPr>
          <w:p>
            <w:r>
              <w:rPr>
                <w:sz w:val="17"/>
              </w:rPr>
              <w:t>13–20</w:t>
            </w:r>
          </w:p>
        </w:tc>
        <w:tc>
          <w:tcPr>
            <w:tcW w:type="dxa" w:w="2948"/>
            <w:shd w:fill="EEF1F8" w:val="clear"/>
          </w:tcPr>
          <w:p>
            <w:r>
              <w:rPr>
                <w:sz w:val="17"/>
              </w:rPr>
              <w:t>$7,800–$12,000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Manual / custom migration (T2, T3, T4, T6, integrations)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56–82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$33,600–$49,200</w:t>
            </w:r>
          </w:p>
        </w:tc>
      </w:tr>
      <w:tr>
        <w:tc>
          <w:tcPr>
            <w:tcW w:type="dxa" w:w="3969"/>
            <w:shd w:fill="EEF1F8" w:val="clear"/>
          </w:tcPr>
          <w:p>
            <w:r>
              <w:rPr>
                <w:sz w:val="17"/>
              </w:rPr>
              <w:t>QA &amp; Testing (functional, integration, cross-browser, UAT – ~25%)</w:t>
            </w:r>
          </w:p>
        </w:tc>
        <w:tc>
          <w:tcPr>
            <w:tcW w:type="dxa" w:w="2551"/>
            <w:shd w:fill="EEF1F8" w:val="clear"/>
          </w:tcPr>
          <w:p>
            <w:r>
              <w:rPr>
                <w:sz w:val="17"/>
              </w:rPr>
              <w:t>17–26</w:t>
            </w:r>
          </w:p>
        </w:tc>
        <w:tc>
          <w:tcPr>
            <w:tcW w:type="dxa" w:w="2948"/>
            <w:shd w:fill="EEF1F8" w:val="clear"/>
          </w:tcPr>
          <w:p>
            <w:r>
              <w:rPr>
                <w:sz w:val="17"/>
              </w:rPr>
              <w:t>$10,200–$15,600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Project mgmt / contingency (~15%)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13–20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$7,800–$12,000</w:t>
            </w:r>
          </w:p>
        </w:tc>
      </w:tr>
      <w:tr>
        <w:tc>
          <w:tcPr>
            <w:tcW w:type="dxa" w:w="3969"/>
            <w:shd w:fill="EEF1F8" w:val="clear"/>
          </w:tcPr>
          <w:p>
            <w:r>
              <w:rPr>
                <w:sz w:val="17"/>
              </w:rPr>
              <w:t>TOTAL</w:t>
            </w:r>
          </w:p>
        </w:tc>
        <w:tc>
          <w:tcPr>
            <w:tcW w:type="dxa" w:w="2551"/>
            <w:shd w:fill="EEF1F8" w:val="clear"/>
          </w:tcPr>
          <w:p>
            <w:r>
              <w:rPr>
                <w:sz w:val="17"/>
              </w:rPr>
              <w:t>99–148 person-days</w:t>
            </w:r>
          </w:p>
        </w:tc>
        <w:tc>
          <w:tcPr>
            <w:tcW w:type="dxa" w:w="2948"/>
            <w:shd w:fill="EEF1F8" w:val="clear"/>
          </w:tcPr>
          <w:p>
            <w:r>
              <w:rPr>
                <w:sz w:val="17"/>
              </w:rPr>
              <w:t>$59,400–$88,800</w:t>
            </w:r>
          </w:p>
        </w:tc>
      </w:tr>
    </w:tbl>
    <w:p>
      <w:pPr>
        <w:pStyle w:val="Heading2"/>
      </w:pPr>
      <w:r>
        <w:t>7.3 Indicative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5102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Activities</w:t>
            </w:r>
          </w:p>
        </w:tc>
        <w:tc>
          <w:tcPr>
            <w:tcW w:type="dxa" w:w="1701"/>
            <w:shd w:fill="00008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2551"/>
            <w:shd w:fill="EEF1F8" w:val="clear"/>
          </w:tcPr>
          <w:p>
            <w:r>
              <w:rPr>
                <w:sz w:val="17"/>
              </w:rPr>
              <w:t>Phase 1 – Foundation</w:t>
            </w:r>
          </w:p>
        </w:tc>
        <w:tc>
          <w:tcPr>
            <w:tcW w:type="dxa" w:w="5102"/>
            <w:shd w:fill="EEF1F8" w:val="clear"/>
          </w:tcPr>
          <w:p>
            <w:r>
              <w:rPr>
                <w:sz w:val="17"/>
              </w:rPr>
              <w:t>Setup, templates, design system, content extraction strategy.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7"/>
              </w:rPr>
              <w:t>Weeks 1–2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Phase 2 – Automated content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Literacy hub, newsroom, articles, global header/footer.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Weeks 2–4</w:t>
            </w:r>
          </w:p>
        </w:tc>
      </w:tr>
      <w:tr>
        <w:tc>
          <w:tcPr>
            <w:tcW w:type="dxa" w:w="2551"/>
            <w:shd w:fill="EEF1F8" w:val="clear"/>
          </w:tcPr>
          <w:p>
            <w:r>
              <w:rPr>
                <w:sz w:val="17"/>
              </w:rPr>
              <w:t>Phase 3 – Transactional build</w:t>
            </w:r>
          </w:p>
        </w:tc>
        <w:tc>
          <w:tcPr>
            <w:tcW w:type="dxa" w:w="5102"/>
            <w:shd w:fill="EEF1F8" w:val="clear"/>
          </w:tcPr>
          <w:p>
            <w:r>
              <w:rPr>
                <w:sz w:val="17"/>
              </w:rPr>
              <w:t>Product/purchase, payment, activation templates + integrations.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7"/>
              </w:rPr>
              <w:t>Weeks 4–10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Phase 4 – Emma shell &amp; integrations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Portal shell, martech, payment/OTP wiring.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Weeks 9–12</w:t>
            </w:r>
          </w:p>
        </w:tc>
      </w:tr>
      <w:tr>
        <w:tc>
          <w:tcPr>
            <w:tcW w:type="dxa" w:w="2551"/>
            <w:shd w:fill="EEF1F8" w:val="clear"/>
          </w:tcPr>
          <w:p>
            <w:r>
              <w:rPr>
                <w:sz w:val="17"/>
              </w:rPr>
              <w:t>Phase 5 – QA, UAT &amp; launch</w:t>
            </w:r>
          </w:p>
        </w:tc>
        <w:tc>
          <w:tcPr>
            <w:tcW w:type="dxa" w:w="5102"/>
            <w:shd w:fill="EEF1F8" w:val="clear"/>
          </w:tcPr>
          <w:p>
            <w:r>
              <w:rPr>
                <w:sz w:val="17"/>
              </w:rPr>
              <w:t>Functional/integration testing, UAT, performance, go-live.</w:t>
            </w:r>
          </w:p>
        </w:tc>
        <w:tc>
          <w:tcPr>
            <w:tcW w:type="dxa" w:w="1701"/>
            <w:shd w:fill="EEF1F8" w:val="clear"/>
          </w:tcPr>
          <w:p>
            <w:r>
              <w:rPr>
                <w:sz w:val="17"/>
              </w:rPr>
              <w:t>Weeks 11–14</w:t>
            </w:r>
          </w:p>
        </w:tc>
      </w:tr>
    </w:tbl>
    <w:p/>
    <w:p>
      <w:r>
        <w:rPr>
          <w:i/>
          <w:sz w:val="17"/>
        </w:rPr>
        <w:t>Overall timeline: approximately 12–14 weeks with a small dedicated team (1 AEM lead, 1–2 AEM developers, 1 front-end/SPA developer, 1 QA, part-time PM/BA). Assumptions: timely access to AXA payment/OTP/policy APIs and Prismic content export; no full visual redesign; transactional SPAs are embedded rather than rebuilt from scratch. Full SPA rewrites, additional locales, or new design would increase effort materially.</w:t>
      </w:r>
    </w:p>
    <w:p>
      <w:r>
        <w:br w:type="page"/>
      </w:r>
    </w:p>
    <w:p>
      <w:pPr>
        <w:pStyle w:val="Heading1"/>
      </w:pPr>
      <w:r>
        <w:t>8. Appendix: Page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lithu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E6E"/>
          <w:sz w:val="16"/>
        </w:rPr>
        <w:t>T1 – Content / Literacy Hub Landing (finlithub) with welcome modal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startl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E6E"/>
          <w:sz w:val="16"/>
        </w:rPr>
        <w:t>T2 – Product Landing (Health Start Lite) with section tabs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insur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E6E"/>
          <w:sz w:val="16"/>
        </w:rPr>
        <w:t>T2 – Product / Purchase Page with Metrobank co-branding &amp; 0% installment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yment-oneti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E6E"/>
          <w:sz w:val="16"/>
        </w:rPr>
        <w:t>T3 – Payment Facility (one-time premium) with reCAPTCHA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-activ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E6E"/>
          <w:sz w:val="16"/>
        </w:rPr>
        <w:t>T4 – Personal Accident Activation (tabs + PIN entry)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ro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E6E"/>
          <w:sz w:val="16"/>
        </w:rPr>
        <w:t>T5 – Newsroom listing with category filter &amp; count badge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ma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6E6E"/>
          <w:sz w:val="16"/>
        </w:rPr>
        <w:t>T6 – Emma by AXA login / register portal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8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8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