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008F"/>
          <w:sz w:val="60"/>
        </w:rPr>
        <w:t>AXA Philippines Website</w:t>
      </w:r>
    </w:p>
    <w:p>
      <w:pPr>
        <w:jc w:val="center"/>
      </w:pPr>
      <w:r>
        <w:rPr>
          <w:b/>
          <w:color w:val="FF1C21"/>
          <w:sz w:val="44"/>
        </w:rPr>
        <w:t>Migration Analysis &amp; Assessment</w:t>
      </w:r>
    </w:p>
    <w:p>
      <w:pPr>
        <w:jc w:val="center"/>
      </w:pPr>
      <w:r>
        <w:rPr>
          <w:color w:val="505050"/>
          <w:sz w:val="26"/>
        </w:rPr>
        <w:t>Templates, Components, Integrations &amp; Migration Estimates</w:t>
      </w:r>
    </w:p>
    <w:p/>
    <w:p>
      <w:pPr>
        <w:jc w:val="center"/>
      </w:pPr>
      <w:r>
        <w:rPr>
          <w:color w:val="5A5A5A"/>
          <w:sz w:val="22"/>
        </w:rPr>
        <w:t>Target Platform: Adobe Experience Manager (AEM) Cloud Service – Core Components</w:t>
        <w:br/>
        <w:t>Source Site: https://www.axa.com.ph/</w:t>
        <w:br/>
        <w:t>Scope: 21 representative URLs</w:t>
        <w:br/>
        <w:t>Date: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</w:pPr>
      <w:r>
        <w:t>1. Executive Summary</w:t>
      </w:r>
    </w:p>
    <w:p>
      <w:pPr>
        <w:spacing w:after="60"/>
      </w:pPr>
      <w:r>
        <w:t>2. Templates Inventory</w:t>
      </w:r>
    </w:p>
    <w:p>
      <w:pPr>
        <w:spacing w:after="60"/>
      </w:pPr>
      <w:r>
        <w:t>3. Components Catalog (AEM Core Components)</w:t>
      </w:r>
    </w:p>
    <w:p>
      <w:pPr>
        <w:spacing w:after="60"/>
      </w:pPr>
      <w:r>
        <w:t>4. Page Counts by Template</w:t>
      </w:r>
    </w:p>
    <w:p>
      <w:pPr>
        <w:spacing w:after="60"/>
      </w:pPr>
      <w:r>
        <w:t>5. Integrations Analysis</w:t>
      </w:r>
    </w:p>
    <w:p>
      <w:pPr>
        <w:spacing w:after="60"/>
      </w:pPr>
      <w:r>
        <w:t>6. Complex Use Cases &amp; Observations</w:t>
      </w:r>
    </w:p>
    <w:p>
      <w:pPr>
        <w:spacing w:after="60"/>
      </w:pPr>
      <w:r>
        <w:t>7. Migration Estimates</w:t>
      </w:r>
    </w:p>
    <w:p>
      <w:pPr>
        <w:spacing w:after="60"/>
      </w:pPr>
      <w:r>
        <w:t>8. Appendix: Page Screenshots</w:t>
      </w:r>
    </w:p>
    <w:p>
      <w:pPr>
        <w:spacing w:after="60"/>
      </w:pPr>
      <w:r>
        <w:t>9. Expanded Analysis: Hub Sub-Pages (Detail Templates)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analyzes 21 representative URLs from the AXA Philippines website (www.axa.com.ph) to assess migration to Adobe Experience Manager (AEM) as a Cloud Service, implemented using the AEM Core Components (WCM) component library. AXA Philippines is a leading life and general insurance provider; the analyzed pages span financial-literacy content, co-branded bancassurance product pages (Metrobank / PSBank), self-service payment facilities, product activation flows, an editorial newsroom, and the "Emma by AXA" customer self-service portal.</w:t>
      </w:r>
    </w:p>
    <w:p>
      <w:r>
        <w:t>The current site is built on a headless/decoupled stack: content and media are served from Prismic (a SaaS headless CMS) and the interactive flows (quote engines, payments, account portal) are AngularJS single-page applications. A migration to AEM CMS therefore involves two distinct efforts: (a) re-platforming editorial/marketing content onto AEM Core Components, which is largely automatable, and (b) re-integrating or rebuilding the transactional SPA experiences, which is predominantly manual, integration-heavy work.</w:t>
      </w:r>
    </w:p>
    <w:p>
      <w:pPr>
        <w:pStyle w:val="Heading2"/>
      </w:pPr>
      <w:r>
        <w:t>Key Findings</w:t>
      </w:r>
    </w:p>
    <w:p>
      <w:pPr>
        <w:pStyle w:val="ListBullet"/>
        <w:spacing w:after="40"/>
      </w:pPr>
      <w:r>
        <w:t>6 distinct page templates identified across the 21 URLs (1 URL – /installment-general-insurance – returns HTTP 404 and is excluded from active counts).</w:t>
      </w:r>
    </w:p>
    <w:p>
      <w:pPr>
        <w:pStyle w:val="ListBullet"/>
        <w:spacing w:after="40"/>
      </w:pPr>
      <w:r>
        <w:t>14 reusable components cataloged, all mappable to standard or extended AEM Core Components; visual differences are best handled as component style variations, not new components.</w:t>
      </w:r>
    </w:p>
    <w:p>
      <w:pPr>
        <w:pStyle w:val="ListBullet"/>
        <w:spacing w:after="40"/>
      </w:pPr>
      <w:r>
        <w:t>Content delivery is currently headless via Prismic CMS; media is served from images.prismic.io and axa-philippines.cdn.prismic.io.</w:t>
      </w:r>
    </w:p>
    <w:p>
      <w:pPr>
        <w:pStyle w:val="ListBullet"/>
        <w:spacing w:after="40"/>
      </w:pPr>
      <w:r>
        <w:t>Transactional pages are AngularJS SPAs with heavy client-side logic (multi-step forms, cascading dropdowns, OTP, premium calculation).</w:t>
      </w:r>
    </w:p>
    <w:p>
      <w:pPr>
        <w:pStyle w:val="ListBullet"/>
        <w:spacing w:after="40"/>
      </w:pPr>
      <w:r>
        <w:t>Extensive third-party integration footprint: 2C2P and PesoPay payment gateways, ion.axa.com.ph payment service, Google reCAPTCHA, LiveChat, and a full martech stack (GA, GTM, Microsoft Clarity, Bing UET, DoubleClick/Google Ads, Innity, Azure Application Insights).</w:t>
      </w:r>
    </w:p>
    <w:p>
      <w:pPr>
        <w:pStyle w:val="ListBullet"/>
        <w:spacing w:after="40"/>
      </w:pPr>
      <w:r>
        <w:t>Co-branded bancassurance pages (Metrobank, PSBank) reuse a single product template with partner-specific branding/credit-card assets – ideal candidates for AEM templating + Experience Fragments.</w:t>
      </w:r>
    </w:p>
    <w:p>
      <w:pPr>
        <w:pStyle w:val="ListBullet"/>
        <w:spacing w:after="40"/>
      </w:pPr>
      <w:r>
        <w:t>The "Emma by AXA" portal (login, register, forgot-password) is an authenticated account application backed by AXA back-end services – out of scope for CMS content migration and should remain a separate application integrated via SSO/links.</w:t>
      </w:r>
    </w:p>
    <w:p>
      <w:pPr>
        <w:pStyle w:val="Heading2"/>
      </w:pPr>
      <w:r>
        <w:t>Recommended Target Architecture (AEM Core Components)</w:t>
      </w:r>
    </w:p>
    <w:p>
      <w:pPr>
        <w:pStyle w:val="ListBullet"/>
        <w:spacing w:after="40"/>
      </w:pPr>
      <w:r>
        <w:t>Editorial Templates: AEM Editable Templates + Core Components (Title, Text, Image, Teaser, Carousel, Tabs, Accordion, Container, Button, List, Embed).</w:t>
      </w:r>
    </w:p>
    <w:p>
      <w:pPr>
        <w:pStyle w:val="ListBullet"/>
        <w:spacing w:after="40"/>
      </w:pPr>
      <w:r>
        <w:t>Reusable header/footer/partner branding: Experience Fragments referenced across templates and locales.</w:t>
      </w:r>
    </w:p>
    <w:p>
      <w:pPr>
        <w:pStyle w:val="ListBullet"/>
        <w:spacing w:after="40"/>
      </w:pPr>
      <w:r>
        <w:t>Article/Newsroom listing: Core Components List + Content Fragments for article bodies, enabling structured, query-driven listing pages.</w:t>
      </w:r>
    </w:p>
    <w:p>
      <w:pPr>
        <w:pStyle w:val="ListBullet"/>
        <w:spacing w:after="40"/>
      </w:pPr>
      <w:r>
        <w:t>Transactional flows (quote, payment, activation): retain as AngularJS/SPA apps embedded via the Core Components Embed component or AEM SPA Editor, with AEM owning the surrounding chrome and marketing content.</w:t>
      </w:r>
    </w:p>
    <w:p>
      <w:pPr>
        <w:pStyle w:val="ListBullet"/>
        <w:spacing w:after="40"/>
      </w:pPr>
      <w:r>
        <w:t>Emma portal: keep as the existing authenticated application; AEM provides only the marketing/landing shell and deep-links.</w:t>
      </w:r>
    </w:p>
    <w:p>
      <w:r>
        <w:br w:type="page"/>
      </w:r>
    </w:p>
    <w:p>
      <w:pPr>
        <w:pStyle w:val="Heading1"/>
      </w:pPr>
      <w:r>
        <w:t>2. Templates Inventory</w:t>
      </w:r>
    </w:p>
    <w:p>
      <w:r>
        <w:t>The 21 URLs consolidate into 6 unique page templates. Complexity reflects the effort to reproduce the template on AEM Core Components, including dynamic behavior and 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102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685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3402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 URL Examples</w:t>
            </w:r>
          </w:p>
        </w:tc>
      </w:tr>
      <w:tr>
        <w:tc>
          <w:tcPr>
            <w:tcW w:type="dxa" w:w="567"/>
            <w:shd w:fill="EEF1F8" w:val="clear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Content / Literacy Hub Landing</w:t>
            </w:r>
          </w:p>
        </w:tc>
        <w:tc>
          <w:tcPr>
            <w:tcW w:type="dxa" w:w="1020"/>
            <w:shd w:fill="EEF1F8" w:val="clea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3685"/>
            <w:shd w:fill="EEF1F8" w:val="clear"/>
          </w:tcPr>
          <w:p>
            <w:r>
              <w:rPr>
                <w:sz w:val="16"/>
              </w:rPr>
              <w:t>Largely static marketing layout: hero, category nav, card grid, onboarding modal. Content authorable with standard Core Components. Welcome modal and category filtering add minor JS.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6"/>
              </w:rPr>
              <w:t>https://www.axa.com.ph/finlithub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Product / Purchase (Bancassurance) Page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AngularJS SPA with hero, coverage feature grid, multi-step quote/purchase form, cascading dropdowns, range slider, OTP, premium calculation, FAQ accordion, partner co-branding, payment gateway. Heavy logic + integrations.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https://www.axa.com.ph/products/car-insurance/partners/metrobank ; .../car-insurance/partners/psbank ; .../travel-insurance/partners/metrobank ; .../travel-insurance/partners/psbank ; https://www.axa.com.ph/healthstartlite ; .../health-start-lite/partners/metrobank</w:t>
            </w:r>
          </w:p>
        </w:tc>
      </w:tr>
      <w:tr>
        <w:tc>
          <w:tcPr>
            <w:tcW w:type="dxa" w:w="567"/>
            <w:shd w:fill="EEF1F8" w:val="clear"/>
          </w:tcPr>
          <w:p>
            <w:r>
              <w:rPr>
                <w:sz w:val="16"/>
              </w:rPr>
              <w:t>T3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Payment Facility Page</w:t>
            </w:r>
          </w:p>
        </w:tc>
        <w:tc>
          <w:tcPr>
            <w:tcW w:type="dxa" w:w="1020"/>
            <w:shd w:fill="EEF1F8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  <w:shd w:fill="EEF1F8" w:val="clear"/>
          </w:tcPr>
          <w:p>
            <w:r>
              <w:rPr>
                <w:sz w:val="16"/>
              </w:rPr>
              <w:t>Self-service payment forms (one-time, recurring/auto-pay, general insurance). Policy/PRN lookup with real-time validation, currency toggle, reCAPTCHA, OTP, agreement gating, redirect to payment gateway.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6"/>
              </w:rPr>
              <w:t>https://www.axa.com.ph/payments/premium-onetime ; .../payments/premium-recurring ; .../payments/premium-onetime-general-insurance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T4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Product Activation Page (PA / Card)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Medium–High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Tabbed layout (Activation / Coverage / Claim) with PIN/PA-code entry, long multi-section application form, cascading PH geography dropdowns, downloadable claim PDFs, validation.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https://www.axa.com.ph/pa ; https://www.axa.com.ph/pa/nba ; https://www.axa.com.ph/pacard</w:t>
            </w:r>
          </w:p>
        </w:tc>
      </w:tr>
      <w:tr>
        <w:tc>
          <w:tcPr>
            <w:tcW w:type="dxa" w:w="567"/>
            <w:shd w:fill="EEF1F8" w:val="clear"/>
          </w:tcPr>
          <w:p>
            <w:r>
              <w:rPr>
                <w:sz w:val="16"/>
              </w:rPr>
              <w:t>T5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Article Listing / Newsroom</w:t>
            </w:r>
          </w:p>
        </w:tc>
        <w:tc>
          <w:tcPr>
            <w:tcW w:type="dxa" w:w="1020"/>
            <w:shd w:fill="EEF1F8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685"/>
            <w:shd w:fill="EEF1F8" w:val="clear"/>
          </w:tcPr>
          <w:p>
            <w:r>
              <w:rPr>
                <w:sz w:val="16"/>
              </w:rPr>
              <w:t>Editorial index: hero, category filter tabs, chronological article cards, count badge, read-more. Maps well to Core Components List + Content Fragments; filtering is dynamic.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6"/>
              </w:rPr>
              <w:t>https://www.axa.com.ph/multimedia/newsroom ; https://www.axa.com.ph/multimedia/articles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T6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Account Portal / Authentication (Emma)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Authenticated SPA: login, multi-step registration, forgot-password, account dashboards (policies, advisors, payments, e-notiXes). Backed by AXA back-end services + email/OTP verification. Not a CMS content template.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https://www.axa.com.ph/emma ; https://www.axa.com.ph/emma/login ; https://www.axa.com.ph/emma/faq ; https://www.axa.com.ph/emma/forgot-password ; https://www.axa.com.ph/axaprime</w:t>
            </w:r>
          </w:p>
        </w:tc>
      </w:tr>
    </w:tbl>
    <w:p/>
    <w:p>
      <w:r>
        <w:rPr>
          <w:i/>
          <w:sz w:val="17"/>
        </w:rPr>
        <w:t>Note: https://www.axa.com.ph/axaprime is a recruitment/lead-generation landing page with a registration form; it is grouped under the form-driven landing pattern (closest to T6 for estimation, but visually a Content landing). https://www.axa.com.ph/emma/faq is an FAQ page using accordions (T5/Content pattern). One URL (https://www.axa.com.ph/installment-general-insurance) returned HTTP 404.</w:t>
      </w:r>
    </w:p>
    <w:p>
      <w:r>
        <w:br w:type="page"/>
      </w:r>
    </w:p>
    <w:p>
      <w:pPr>
        <w:pStyle w:val="Heading1"/>
      </w:pPr>
      <w:r>
        <w:t>3. Components Catalog (AEM Core Components)</w:t>
      </w:r>
    </w:p>
    <w:p>
      <w:r>
        <w:t>Reusable UI elements observed across the site, mapped to AEM Core Components. Per the migration guidance, visual differences (e.g., partner co-branding, card layout variants) are implemented as component style/system variations rather than new components, maximizing reuse.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04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AEM Core Component Mapping</w:t>
            </w:r>
          </w:p>
        </w:tc>
        <w:tc>
          <w:tcPr>
            <w:tcW w:type="dxa" w:w="85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402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Behaviour &amp; Functionality</w:t>
            </w:r>
          </w:p>
        </w:tc>
        <w:tc>
          <w:tcPr>
            <w:tcW w:type="dxa" w:w="204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Global Header / Primary Nav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Header (XF) + Navigation + Language/Utility nav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Sticky multi-level dropdown nav (Products, Buy Online, Understand Your Needs, Payments, Support, Emma, About Us) + utility links (Funds, Careers, Consult an Advisor). Authored once as Experience Fragment.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Global Footer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Footer (XF) + List + Social icons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Social links (FB, X, YouTube, LinkedIn, Instagram), AXA Worldwide link, Site Map / Legal / Privacy, copyright. Reused as Experience Fragment.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Cookie Consent Banner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Custom / Embed (martech-managed)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Top-of-page privacy/cookie notice with "I Accept". Typically provided by martech tag, not authored content.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Hero Banner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Teaser (with responsive image variations)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Full-width image + headline + supporting copy + CTA button(s). Responsive desktop/tablet/mobile image variants.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finlithub, healthstartlite, car-insurance, pa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C5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CTA Button / Button Group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Button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Primary (orange) and secondary (outline) actions: Get a Quote, Buy Online, How to Purchase, Consult an Advisor, Learn More.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All product/landing pages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C6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Card / Teaser Grid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Teaser + Container (style variants)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Low–Medium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Grids of image cards with title, optional text, and Learn More link. Multiple layout variants (2-up, 3-up) handled via style system.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finlithub, emma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C7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Feature / Coverage Icon Grid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Container + Teaser/Text + Image (icon)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Icon + label + description grid (e.g., Own Damage, Theft, Bodily Injury). Pure content.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car-insurance (metrobank/psbank)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C8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Category Filter Tabs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Tabs / List with filter (custom JS)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Tab/segment control filtering content (literacy categories; newsroom ALL/Newsroom/CSR). Client-side filtering.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finlithub, newsroom, articles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C9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In-page Section Tabs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Tabs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Low–Medium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Anchored content tabs (Activation/Coverage/Claim; Car Insurance/Coverage/Claims/Roadside/Speed/FAQs).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pa, pacard, car-insurance, healthstartlite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C10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FAQ Accordion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Accordion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Expand/collapse Q&amp;A list. Direct mapping to Core Components Accordion.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car-insurance, emma/faq, healthstartlite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C11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Article List / Newsroom Feed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List + Content Fragments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Query-driven chronological list with date, title, excerpt, read-more, category filter, total count badge.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newsroom, articles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C12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Quote / Purchase Form (multi-step)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Embed (SPA) or AEM Forms (adaptive)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Multi-step wizard: PEP question, cascading vehicle dropdowns, range slider, personal info, consent gating, premium calc, OTP, payment hand-off.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car-insurance, travel-insurance (all partners)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C13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5"/>
              </w:rPr>
              <w:t>Payment Form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Embed (SPA) or AEM Forms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2"/>
            <w:shd w:fill="EEF1F8" w:val="clear"/>
          </w:tcPr>
          <w:p>
            <w:r>
              <w:rPr>
                <w:sz w:val="15"/>
              </w:rPr>
              <w:t>Policy/PRN lookup + real-time status validation, currency toggle, amount range validation, reCAPTCHA, OTP modal, agreement checkbox, gateway redirect.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payments/premium-onetime, premium-recurring, premium-onetime-general-insurance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C14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Activation / Registration Form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Embed (SPA) or AEM Forms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PIN/code entry + long application form, cascading PH province/city/barangay, beneficiary, occupation logic, consent, validation.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pa, pacard, axaprime, emma/login, emma/forgot-password</w:t>
            </w:r>
          </w:p>
        </w:tc>
      </w:tr>
    </w:tbl>
    <w:p/>
    <w:p>
      <w:r>
        <w:rPr>
          <w:i/>
          <w:sz w:val="17"/>
        </w:rPr>
        <w:t>Representative component screenshots are provided in Section 8 (Appendix).</w:t>
      </w:r>
    </w:p>
    <w:p>
      <w:r>
        <w:br w:type="page"/>
      </w:r>
    </w:p>
    <w:p>
      <w:pPr>
        <w:pStyle w:val="Heading1"/>
      </w:pPr>
      <w:r>
        <w:t>4. Page Counts by Template</w:t>
      </w:r>
    </w:p>
    <w:p>
      <w:r>
        <w:t>Counts are based on the 21 supplied URLs (20 live + 1 returning 404). "Automated" migration means content/layout can be largely scripted into AEM Core Components with minimal manual rework. "Manual" indicates dynamic SPA logic and integrations that must be rebuilt or re-embedded and tested by hand.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147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Pages (in scope)</w:t>
            </w:r>
          </w:p>
        </w:tc>
        <w:tc>
          <w:tcPr>
            <w:tcW w:type="dxa" w:w="147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Migration Mode</w:t>
            </w:r>
          </w:p>
        </w:tc>
        <w:tc>
          <w:tcPr>
            <w:tcW w:type="dxa" w:w="3969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721"/>
            <w:shd w:fill="EEF1F8" w:val="clear"/>
          </w:tcPr>
          <w:p>
            <w:r>
              <w:rPr>
                <w:sz w:val="16"/>
              </w:rPr>
              <w:t>T1 – Content / Literacy Hub Landing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Automated</w:t>
            </w:r>
          </w:p>
        </w:tc>
        <w:tc>
          <w:tcPr>
            <w:tcW w:type="dxa" w:w="3969"/>
            <w:shd w:fill="EEF1F8" w:val="clear"/>
          </w:tcPr>
          <w:p>
            <w:r>
              <w:rPr>
                <w:sz w:val="16"/>
              </w:rPr>
              <w:t>Standardized, content-driven layout; minor JS (modal, filter).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T2 – Product / Purchase (Bancassurance)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SPA quote engines, payment gateways, OTP, partner branding – custom logic + integrations.</w:t>
            </w:r>
          </w:p>
        </w:tc>
      </w:tr>
      <w:tr>
        <w:tc>
          <w:tcPr>
            <w:tcW w:type="dxa" w:w="2721"/>
            <w:shd w:fill="EEF1F8" w:val="clear"/>
          </w:tcPr>
          <w:p>
            <w:r>
              <w:rPr>
                <w:sz w:val="16"/>
              </w:rPr>
              <w:t>T3 – Payment Facility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2 live (3 incl. 404)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3969"/>
            <w:shd w:fill="EEF1F8" w:val="clear"/>
          </w:tcPr>
          <w:p>
            <w:r>
              <w:rPr>
                <w:sz w:val="16"/>
              </w:rPr>
              <w:t>Payment SPA, policy validation, reCAPTCHA, gateway hand-off. (premium-onetime-general-insurance is the 404 URL.)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T4 – Product Activation (PA / Card)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Long application forms, cascading geography, PIN validation, PDF assets.</w:t>
            </w:r>
          </w:p>
        </w:tc>
      </w:tr>
      <w:tr>
        <w:tc>
          <w:tcPr>
            <w:tcW w:type="dxa" w:w="2721"/>
            <w:shd w:fill="EEF1F8" w:val="clear"/>
          </w:tcPr>
          <w:p>
            <w:r>
              <w:rPr>
                <w:sz w:val="16"/>
              </w:rPr>
              <w:t>T5 – Article Listing / Newsroom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Automated (semi)</w:t>
            </w:r>
          </w:p>
        </w:tc>
        <w:tc>
          <w:tcPr>
            <w:tcW w:type="dxa" w:w="3969"/>
            <w:shd w:fill="EEF1F8" w:val="clear"/>
          </w:tcPr>
          <w:p>
            <w:r>
              <w:rPr>
                <w:sz w:val="16"/>
              </w:rPr>
              <w:t>Structured listings via List + Content Fragments; article bodies bulk-importable, filtering reconfigured.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T6 – Account Portal / Auth (Emma) + axaprime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4 (+axaprime, +emma/faq)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Authenticated SPA + back-end services; only marketing shell migrated. emma/faq accordion is semi-automated.</w:t>
            </w:r>
          </w:p>
        </w:tc>
      </w:tr>
      <w:tr>
        <w:tc>
          <w:tcPr>
            <w:tcW w:type="dxa" w:w="2721"/>
            <w:shd w:fill="EEF1F8" w:val="clea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20 live (21 supplied)</w:t>
            </w:r>
          </w:p>
        </w:tc>
        <w:tc>
          <w:tcPr>
            <w:tcW w:type="dxa" w:w="1474"/>
            <w:shd w:fill="EEF1F8" w:val="clea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969"/>
            <w:shd w:fill="EEF1F8" w:val="clear"/>
          </w:tcPr>
          <w:p>
            <w:r>
              <w:rPr>
                <w:sz w:val="16"/>
              </w:rPr>
              <w:t>~3–4 pages automatable; ~16–17 require manual/custom migration.</w:t>
            </w:r>
          </w:p>
        </w:tc>
      </w:tr>
    </w:tbl>
    <w:p>
      <w:pPr>
        <w:pStyle w:val="Heading2"/>
      </w:pPr>
      <w:r>
        <w:t>Summary</w:t>
      </w:r>
    </w:p>
    <w:p>
      <w:pPr>
        <w:pStyle w:val="ListBullet"/>
        <w:spacing w:after="40"/>
      </w:pPr>
      <w:r>
        <w:t>Automatable (low complexity, standardized): T1 + T5 → ~3–4 pages.</w:t>
      </w:r>
    </w:p>
    <w:p>
      <w:pPr>
        <w:pStyle w:val="ListBullet"/>
        <w:spacing w:after="40"/>
      </w:pPr>
      <w:r>
        <w:t>Manual / custom (dynamic SPA, integrations, auth): T2 + T3 + T4 + T6 → ~16–17 pages.</w:t>
      </w:r>
    </w:p>
    <w:p>
      <w:pPr>
        <w:pStyle w:val="ListBullet"/>
        <w:spacing w:after="40"/>
      </w:pPr>
      <w:r>
        <w:t>Because partner pages (Metrobank/PSBank) share a single template, the manual build effort is per-template, with partner instances created as fast configuration/branding variations.</w:t>
      </w:r>
    </w:p>
    <w:p>
      <w:r>
        <w:br w:type="page"/>
      </w:r>
    </w:p>
    <w:p>
      <w:pPr>
        <w:pStyle w:val="Heading1"/>
      </w:pPr>
      <w:r>
        <w:t>5. Integrations Analysis</w:t>
      </w:r>
    </w:p>
    <w:p>
      <w:r>
        <w:t>Third-party services and enterprise integrations observed via page behavior, embedded scripts, network/console activity, and content delivery hosts.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13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07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175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6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Used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I1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Prismic (headless CMS / image CDN)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API / CDN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Current content + media source (images.prismic.io, axa-philippines.cdn.prismic.io), PDF hosting. Content must be migrated INTO AEM.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finlithub, product pages, pa, articles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I2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2C2P Payment Gateway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API / redirect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Installment / card payments for product purchase and premiums.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car-insurance, travel-insurance, payments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I3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PesoPay Payment Gateway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API / redirect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Full one-time payments.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car-insurance, travel-insurance, payments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I4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ion.axa.com.ph Payment Service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AXA payment/policy processing endpoint for premium payment flows.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payments/*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I5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Google reCAPTCHA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Plugin / API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Low–Medium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Bot protection on payment and form submissions (vcRecaptchaApiLoaded).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payments, product/activation forms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OTP / SMS Verification Service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Mobile OTP (6-digit, 3-attempt limit) for payments and form verification.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payments, product purchase, emma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I7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LiveChat (livechatinc.com)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Embed (iframe)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Customer support chat widget.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Most pages (global)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I8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Google Analytics + Google Tag Manager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Embed / tag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Web analytics and tag orchestration.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I9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Microsoft Clarity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Embed / tag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Session recording / heatmaps (clarity.ms).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I10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Bing UET (bat.bing.com)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Embed / tag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Microsoft Ads conversion tracking.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I11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DoubleClick / Google Ads (Floodlight)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Embed / tag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Ad conversion tracking (ad.doubleclick.net, fls.doubleclick.net).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All pages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I12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Innity (avd.innity.net)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Embed / tag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Ad network / audience tracking.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emma, marketing pages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I13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Azure Application Insights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API / tag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Front-end telemetry (dc.services.visualstudio.com).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emma portal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I14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App Store / Google Play Links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Link / embed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Emma mobile app distribution.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emma, emma/login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I15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AXA Account / Policy Back-end (Emma)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REST API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Authentication, policy data, advisors, e-notiXes, fund values – enterprise system integration.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emma, emma/login, emma/forgot-password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I16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Social Media Platforms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Link / embed</w:t>
            </w:r>
          </w:p>
        </w:tc>
        <w:tc>
          <w:tcPr>
            <w:tcW w:type="dxa" w:w="907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75"/>
          </w:tcPr>
          <w:p>
            <w:r>
              <w:rPr>
                <w:sz w:val="15"/>
              </w:rPr>
              <w:t>Facebook, X, YouTube, LinkedIn, Instagram brand links.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All pages (footer)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I17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frossa form validation framework</w:t>
            </w:r>
          </w:p>
        </w:tc>
        <w:tc>
          <w:tcPr>
            <w:tcW w:type="dxa" w:w="1134"/>
            <w:shd w:fill="EEF1F8" w:val="clear"/>
          </w:tcPr>
          <w:p>
            <w:r>
              <w:rPr>
                <w:sz w:val="15"/>
              </w:rPr>
              <w:t>Custom code</w:t>
            </w:r>
          </w:p>
        </w:tc>
        <w:tc>
          <w:tcPr>
            <w:tcW w:type="dxa" w:w="907"/>
            <w:shd w:fill="EEF1F8" w:val="clear"/>
          </w:tcPr>
          <w:p>
            <w:r>
              <w:rPr>
                <w:sz w:val="15"/>
              </w:rPr>
              <w:t>Low–Medium</w:t>
            </w:r>
          </w:p>
        </w:tc>
        <w:tc>
          <w:tcPr>
            <w:tcW w:type="dxa" w:w="3175"/>
            <w:shd w:fill="EEF1F8" w:val="clear"/>
          </w:tcPr>
          <w:p>
            <w:r>
              <w:rPr>
                <w:sz w:val="15"/>
              </w:rPr>
              <w:t>Client-side validation framework powering AngularJS forms.</w:t>
            </w:r>
          </w:p>
        </w:tc>
        <w:tc>
          <w:tcPr>
            <w:tcW w:type="dxa" w:w="2268"/>
            <w:shd w:fill="EEF1F8" w:val="clear"/>
          </w:tcPr>
          <w:p>
            <w:r>
              <w:rPr>
                <w:sz w:val="15"/>
              </w:rPr>
              <w:t>axaprime, forms</w:t>
            </w:r>
          </w:p>
        </w:tc>
      </w:tr>
    </w:tbl>
    <w:p>
      <w:pPr>
        <w:pStyle w:val="Heading2"/>
      </w:pPr>
      <w:r>
        <w:t>Enterprise / REST Integration Notes</w:t>
      </w:r>
    </w:p>
    <w:p>
      <w:pPr>
        <w:pStyle w:val="ListBullet"/>
        <w:spacing w:after="40"/>
      </w:pPr>
      <w:r>
        <w:t>Payment flows depend on at least three transaction services (2C2P, PesoPay, ion.axa.com.ph) plus OTP – the highest-risk integration cluster for migration.</w:t>
      </w:r>
    </w:p>
    <w:p>
      <w:pPr>
        <w:pStyle w:val="ListBullet"/>
        <w:spacing w:after="40"/>
      </w:pPr>
      <w:r>
        <w:t>The Emma portal integrates with AXA core policy/account systems via REST APIs; these remain owned by the existing application and are out of scope for CMS content migration.</w:t>
      </w:r>
    </w:p>
    <w:p>
      <w:pPr>
        <w:pStyle w:val="ListBullet"/>
        <w:spacing w:after="40"/>
      </w:pPr>
      <w:r>
        <w:t>Marketing/analytics tags (GA, GTM, Clarity, Bing, DoubleClick, Innity, App Insights) are re-applied through AEM’s page-level tag management / GTM container with minimal effort.</w:t>
      </w:r>
    </w:p>
    <w:p>
      <w:pPr>
        <w:pStyle w:val="ListBullet"/>
        <w:spacing w:after="40"/>
      </w:pPr>
      <w:r>
        <w:t>Prismic is the current content backend; the migration’s automatable effort centers on extracting Prismic content and re-authoring it into AEM Content Fragments / Core Components.</w:t>
      </w:r>
    </w:p>
    <w:p>
      <w:r>
        <w:br w:type="page"/>
      </w:r>
    </w:p>
    <w:p>
      <w:pPr>
        <w:pStyle w:val="Heading1"/>
      </w:pPr>
      <w:r>
        <w:t>6. Complex Use Cases &amp; Observations</w:t>
      </w:r>
    </w:p>
    <w:p>
      <w:r>
        <w:t>Behaviours and edge cases requiring special attention during migration, quantified by occurrence.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247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Instances</w:t>
            </w:r>
          </w:p>
        </w:tc>
        <w:tc>
          <w:tcPr>
            <w:tcW w:type="dxa" w:w="249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Found</w:t>
            </w:r>
          </w:p>
        </w:tc>
        <w:tc>
          <w:tcPr>
            <w:tcW w:type="dxa" w:w="362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It’s Complex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U1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Multi-step quote/purchase wizard with premium calculation</w:t>
            </w:r>
          </w:p>
        </w:tc>
        <w:tc>
          <w:tcPr>
            <w:tcW w:type="dxa" w:w="1247"/>
            <w:shd w:fill="EEF1F8" w:val="clear"/>
          </w:tcPr>
          <w:p>
            <w:r>
              <w:rPr>
                <w:sz w:val="15"/>
              </w:rPr>
              <w:t>6 pages (1 template)</w:t>
            </w:r>
          </w:p>
        </w:tc>
        <w:tc>
          <w:tcPr>
            <w:tcW w:type="dxa" w:w="2494"/>
            <w:shd w:fill="EEF1F8" w:val="clear"/>
          </w:tcPr>
          <w:p>
            <w:r>
              <w:rPr>
                <w:sz w:val="15"/>
              </w:rPr>
              <w:t>car-insurance &amp; travel-insurance (Metrobank/PSBank)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Cascading dropdowns (brand→model→variant), range slider, real-time premium computation, conditional coverage (loan triggers AON), payment hand-off.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U2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Online payment with policy lookup &amp; status logic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2 live (3 incl. 404)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payments/premium-onetime, premium-recurring, premium-onetime-general-insurance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PRN/policy validation with contextual states (lapsed, paid-up, no loan), currency/forex rules, amount range checks, gateway redirect.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U3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OTP / SMS verification with retry limiting</w:t>
            </w:r>
          </w:p>
        </w:tc>
        <w:tc>
          <w:tcPr>
            <w:tcW w:type="dxa" w:w="1247"/>
            <w:shd w:fill="EEF1F8" w:val="clear"/>
          </w:tcPr>
          <w:p>
            <w:r>
              <w:rPr>
                <w:sz w:val="15"/>
              </w:rPr>
              <w:t>Multiple (payments + purchase + emma)</w:t>
            </w:r>
          </w:p>
        </w:tc>
        <w:tc>
          <w:tcPr>
            <w:tcW w:type="dxa" w:w="2494"/>
            <w:shd w:fill="EEF1F8" w:val="clear"/>
          </w:tcPr>
          <w:p>
            <w:r>
              <w:rPr>
                <w:sz w:val="15"/>
              </w:rPr>
              <w:t>payments, product purchase, emma flows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6-digit OTP, masked number, 3-attempt cap, resend logic, session-bound state.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U4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Authenticated account portal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3+ pages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emma, emma/login, emma/forgot-password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Login (5-attempt lockout), multi-step registration with policy verification + security questions, 15-min email link expiry, role/auth-gated dashboards.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U5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Long application forms with PH geography cascades</w:t>
            </w:r>
          </w:p>
        </w:tc>
        <w:tc>
          <w:tcPr>
            <w:tcW w:type="dxa" w:w="1247"/>
            <w:shd w:fill="EEF1F8" w:val="clear"/>
          </w:tcPr>
          <w:p>
            <w:r>
              <w:rPr>
                <w:sz w:val="15"/>
              </w:rPr>
              <w:t>3 pages</w:t>
            </w:r>
          </w:p>
        </w:tc>
        <w:tc>
          <w:tcPr>
            <w:tcW w:type="dxa" w:w="2494"/>
            <w:shd w:fill="EEF1F8" w:val="clear"/>
          </w:tcPr>
          <w:p>
            <w:r>
              <w:rPr>
                <w:sz w:val="15"/>
              </w:rPr>
              <w:t>pa, pa/nba, pacard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Province→city→barangay cascades, beneficiary/occupation conditional fields, PIN/PA-code activation, downloadable PDF claim forms.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U6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Client-side category filtering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3 pages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finlithub, newsroom, articles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Dynamic filter/sort of content lists; must be reproduced via AEM List query + JS or search.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U7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Partner co-branding variations</w:t>
            </w:r>
          </w:p>
        </w:tc>
        <w:tc>
          <w:tcPr>
            <w:tcW w:type="dxa" w:w="1247"/>
            <w:shd w:fill="EEF1F8" w:val="clear"/>
          </w:tcPr>
          <w:p>
            <w:r>
              <w:rPr>
                <w:sz w:val="15"/>
              </w:rPr>
              <w:t>5+ pages</w:t>
            </w:r>
          </w:p>
        </w:tc>
        <w:tc>
          <w:tcPr>
            <w:tcW w:type="dxa" w:w="2494"/>
            <w:shd w:fill="EEF1F8" w:val="clear"/>
          </w:tcPr>
          <w:p>
            <w:r>
              <w:rPr>
                <w:sz w:val="15"/>
              </w:rPr>
              <w:t>all /partners/metrobank and /partners/psbank URLs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Same template, partner-specific logos, credit-card art, installment offers, and legal disclaimers – requires templating + Experience Fragments + variation strategy.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U8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AngularJS SPA rendering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Most transactional pages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product, payment, activation, emma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Content rendered client-side ({\[{ }\]} bindings); not present in initial HTML – blocks naive scraping/auto-import and requires SPA Editor or Embed approach.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U9</w:t>
            </w:r>
          </w:p>
        </w:tc>
        <w:tc>
          <w:tcPr>
            <w:tcW w:type="dxa" w:w="2041"/>
            <w:shd w:fill="EEF1F8" w:val="clear"/>
          </w:tcPr>
          <w:p>
            <w:r>
              <w:rPr>
                <w:sz w:val="15"/>
              </w:rPr>
              <w:t>Onboarding / welcome modal</w:t>
            </w:r>
          </w:p>
        </w:tc>
        <w:tc>
          <w:tcPr>
            <w:tcW w:type="dxa" w:w="1247"/>
            <w:shd w:fill="EEF1F8" w:val="clear"/>
          </w:tcPr>
          <w:p>
            <w:r>
              <w:rPr>
                <w:sz w:val="15"/>
              </w:rPr>
              <w:t>1 page</w:t>
            </w:r>
          </w:p>
        </w:tc>
        <w:tc>
          <w:tcPr>
            <w:tcW w:type="dxa" w:w="2494"/>
            <w:shd w:fill="EEF1F8" w:val="clear"/>
          </w:tcPr>
          <w:p>
            <w:r>
              <w:rPr>
                <w:sz w:val="15"/>
              </w:rPr>
              <w:t>finlithub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Multi-slide intro dialog with state; minor but needs reproduction or removal decision.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U10</w:t>
            </w:r>
          </w:p>
        </w:tc>
        <w:tc>
          <w:tcPr>
            <w:tcW w:type="dxa" w:w="2041"/>
          </w:tcPr>
          <w:p>
            <w:r>
              <w:rPr>
                <w:sz w:val="15"/>
              </w:rPr>
              <w:t>Headless content in Prismic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Site-wide</w:t>
            </w:r>
          </w:p>
        </w:tc>
        <w:tc>
          <w:tcPr>
            <w:tcW w:type="dxa" w:w="2494"/>
          </w:tcPr>
          <w:p>
            <w:r>
              <w:rPr>
                <w:sz w:val="15"/>
              </w:rPr>
              <w:t>all content pages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Content + assets must be extracted from Prismic and re-modeled into AEM; no direct AEM source exists.</w:t>
            </w:r>
          </w:p>
        </w:tc>
      </w:tr>
    </w:tbl>
    <w:p>
      <w:r>
        <w:br w:type="page"/>
      </w:r>
    </w:p>
    <w:p>
      <w:pPr>
        <w:pStyle w:val="Heading1"/>
      </w:pPr>
      <w:r>
        <w:t>7. Migration Estimates</w:t>
      </w:r>
    </w:p>
    <w:p>
      <w:r>
        <w:t>Estimates assume migration to AEM as a Cloud Service using Core Components, with editable templates, Experience Fragments, and Content Fragments. Transactional SPAs are re-embedded (not rewritten from scratch) unless AXA mandates a full rebuild. Ranges reflect uncertainty around back-end/API access and final design fidelity. Effort is in person-days (1 day = 8 hours); a blended rate of USD 75/hour is used for indicative cost.</w:t>
      </w:r>
    </w:p>
    <w:p>
      <w:pPr>
        <w:pStyle w:val="Heading2"/>
      </w:pPr>
      <w:r>
        <w:t>7.1 Effort by Work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 Stream</w:t>
            </w:r>
          </w:p>
        </w:tc>
        <w:tc>
          <w:tcPr>
            <w:tcW w:type="dxa" w:w="5386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 (person-days)</w:t>
            </w:r>
          </w:p>
        </w:tc>
      </w:tr>
      <w:tr>
        <w:tc>
          <w:tcPr>
            <w:tcW w:type="dxa" w:w="2381"/>
            <w:shd w:fill="EEF1F8" w:val="clear"/>
          </w:tcPr>
          <w:p>
            <w:r>
              <w:rPr>
                <w:sz w:val="16"/>
              </w:rPr>
              <w:t>Foundation &amp; Setup</w:t>
            </w:r>
          </w:p>
        </w:tc>
        <w:tc>
          <w:tcPr>
            <w:tcW w:type="dxa" w:w="5386"/>
            <w:shd w:fill="EEF1F8" w:val="clear"/>
          </w:tcPr>
          <w:p>
            <w:r>
              <w:rPr>
                <w:sz w:val="16"/>
              </w:rPr>
              <w:t>AEM Cloud project setup, editable templates, design system, header/footer Experience Fragments, tag management.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6"/>
              </w:rPr>
              <w:t>8–12</w:t>
            </w:r>
          </w:p>
        </w:tc>
      </w:tr>
      <w:tr>
        <w:tc>
          <w:tcPr>
            <w:tcW w:type="dxa" w:w="2381"/>
          </w:tcPr>
          <w:p>
            <w:r>
              <w:rPr>
                <w:sz w:val="16"/>
              </w:rPr>
              <w:t>Automated Content Migration</w:t>
            </w:r>
          </w:p>
        </w:tc>
        <w:tc>
          <w:tcPr>
            <w:tcW w:type="dxa" w:w="5386"/>
          </w:tcPr>
          <w:p>
            <w:r>
              <w:rPr>
                <w:sz w:val="16"/>
              </w:rPr>
              <w:t>Extract Prismic content; bulk-import T1 + T5 (literacy hub, newsroom, articles) into Core Components / Content Fragments.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5–8</w:t>
            </w:r>
          </w:p>
        </w:tc>
      </w:tr>
      <w:tr>
        <w:tc>
          <w:tcPr>
            <w:tcW w:type="dxa" w:w="2381"/>
            <w:shd w:fill="EEF1F8" w:val="clear"/>
          </w:tcPr>
          <w:p>
            <w:r>
              <w:rPr>
                <w:sz w:val="16"/>
              </w:rPr>
              <w:t>T2 Product/Purchase template</w:t>
            </w:r>
          </w:p>
        </w:tc>
        <w:tc>
          <w:tcPr>
            <w:tcW w:type="dxa" w:w="5386"/>
            <w:shd w:fill="EEF1F8" w:val="clear"/>
          </w:tcPr>
          <w:p>
            <w:r>
              <w:rPr>
                <w:sz w:val="16"/>
              </w:rPr>
              <w:t>Build template + embed/rebuild quote SPA, partner variations (6 instances), payment + OTP integration.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6"/>
              </w:rPr>
              <w:t>20–28</w:t>
            </w:r>
          </w:p>
        </w:tc>
      </w:tr>
      <w:tr>
        <w:tc>
          <w:tcPr>
            <w:tcW w:type="dxa" w:w="2381"/>
          </w:tcPr>
          <w:p>
            <w:r>
              <w:rPr>
                <w:sz w:val="16"/>
              </w:rPr>
              <w:t>T3 Payment template</w:t>
            </w:r>
          </w:p>
        </w:tc>
        <w:tc>
          <w:tcPr>
            <w:tcW w:type="dxa" w:w="5386"/>
          </w:tcPr>
          <w:p>
            <w:r>
              <w:rPr>
                <w:sz w:val="16"/>
              </w:rPr>
              <w:t>Payment forms, policy lookup, reCAPTCHA, gateway + OTP integration, validation.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12–18</w:t>
            </w:r>
          </w:p>
        </w:tc>
      </w:tr>
      <w:tr>
        <w:tc>
          <w:tcPr>
            <w:tcW w:type="dxa" w:w="2381"/>
            <w:shd w:fill="EEF1F8" w:val="clear"/>
          </w:tcPr>
          <w:p>
            <w:r>
              <w:rPr>
                <w:sz w:val="16"/>
              </w:rPr>
              <w:t>T4 Activation template</w:t>
            </w:r>
          </w:p>
        </w:tc>
        <w:tc>
          <w:tcPr>
            <w:tcW w:type="dxa" w:w="5386"/>
            <w:shd w:fill="EEF1F8" w:val="clear"/>
          </w:tcPr>
          <w:p>
            <w:r>
              <w:rPr>
                <w:sz w:val="16"/>
              </w:rPr>
              <w:t>Tabbed activation pages, long forms, geography cascades, PDF assets (3 instances).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6"/>
              </w:rPr>
              <w:t>10–14</w:t>
            </w:r>
          </w:p>
        </w:tc>
      </w:tr>
      <w:tr>
        <w:tc>
          <w:tcPr>
            <w:tcW w:type="dxa" w:w="2381"/>
          </w:tcPr>
          <w:p>
            <w:r>
              <w:rPr>
                <w:sz w:val="16"/>
              </w:rPr>
              <w:t>T6 Emma shell + axaprime</w:t>
            </w:r>
          </w:p>
        </w:tc>
        <w:tc>
          <w:tcPr>
            <w:tcW w:type="dxa" w:w="5386"/>
          </w:tcPr>
          <w:p>
            <w:r>
              <w:rPr>
                <w:sz w:val="16"/>
              </w:rPr>
              <w:t>Marketing shell + SSO/deep-links to existing portal; recruitment landing form.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6–10</w:t>
            </w:r>
          </w:p>
        </w:tc>
      </w:tr>
      <w:tr>
        <w:tc>
          <w:tcPr>
            <w:tcW w:type="dxa" w:w="2381"/>
            <w:shd w:fill="EEF1F8" w:val="clear"/>
          </w:tcPr>
          <w:p>
            <w:r>
              <w:rPr>
                <w:sz w:val="16"/>
              </w:rPr>
              <w:t>Integrations &amp; martech</w:t>
            </w:r>
          </w:p>
        </w:tc>
        <w:tc>
          <w:tcPr>
            <w:tcW w:type="dxa" w:w="5386"/>
            <w:shd w:fill="EEF1F8" w:val="clear"/>
          </w:tcPr>
          <w:p>
            <w:r>
              <w:rPr>
                <w:sz w:val="16"/>
              </w:rPr>
              <w:t>Re-wire GA/GTM/Clarity/Bing/DoubleClick/Innity/App Insights, LiveChat, payment &amp; OTP services.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6"/>
              </w:rPr>
              <w:t>8–12</w:t>
            </w:r>
          </w:p>
        </w:tc>
      </w:tr>
      <w:tr>
        <w:tc>
          <w:tcPr>
            <w:tcW w:type="dxa" w:w="2381"/>
          </w:tcPr>
          <w:p>
            <w:r>
              <w:rPr>
                <w:sz w:val="16"/>
              </w:rPr>
              <w:t>Component styling &amp; QA-fix</w:t>
            </w:r>
          </w:p>
        </w:tc>
        <w:tc>
          <w:tcPr>
            <w:tcW w:type="dxa" w:w="5386"/>
          </w:tcPr>
          <w:p>
            <w:r>
              <w:rPr>
                <w:sz w:val="16"/>
              </w:rPr>
              <w:t>Style variations, responsive parity, co-branding fidelity.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6–10</w:t>
            </w:r>
          </w:p>
        </w:tc>
      </w:tr>
    </w:tbl>
    <w:p>
      <w:pPr>
        <w:pStyle w:val="Heading2"/>
      </w:pPr>
      <w:r>
        <w:t>7.2 Consolidated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5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 (person-days)</w:t>
            </w:r>
          </w:p>
        </w:tc>
        <w:tc>
          <w:tcPr>
            <w:tcW w:type="dxa" w:w="294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Indicative Cost (USD @ $75/hr)</w:t>
            </w:r>
          </w:p>
        </w:tc>
      </w:tr>
      <w:tr>
        <w:tc>
          <w:tcPr>
            <w:tcW w:type="dxa" w:w="3969"/>
            <w:shd w:fill="EEF1F8" w:val="clear"/>
          </w:tcPr>
          <w:p>
            <w:r>
              <w:rPr>
                <w:sz w:val="17"/>
              </w:rPr>
              <w:t>Automated migration (T1, T5, content extract, setup)</w:t>
            </w:r>
          </w:p>
        </w:tc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13–20</w:t>
            </w:r>
          </w:p>
        </w:tc>
        <w:tc>
          <w:tcPr>
            <w:tcW w:type="dxa" w:w="2948"/>
            <w:shd w:fill="EEF1F8" w:val="clear"/>
          </w:tcPr>
          <w:p>
            <w:r>
              <w:rPr>
                <w:sz w:val="17"/>
              </w:rPr>
              <w:t>$7,800–$12,000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Manual / custom migration (T2, T3, T4, T6, integrations)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56–82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$33,600–$49,200</w:t>
            </w:r>
          </w:p>
        </w:tc>
      </w:tr>
      <w:tr>
        <w:tc>
          <w:tcPr>
            <w:tcW w:type="dxa" w:w="3969"/>
            <w:shd w:fill="EEF1F8" w:val="clear"/>
          </w:tcPr>
          <w:p>
            <w:r>
              <w:rPr>
                <w:sz w:val="17"/>
              </w:rPr>
              <w:t>QA &amp; Testing (functional, integration, cross-browser, UAT – ~25%)</w:t>
            </w:r>
          </w:p>
        </w:tc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17–26</w:t>
            </w:r>
          </w:p>
        </w:tc>
        <w:tc>
          <w:tcPr>
            <w:tcW w:type="dxa" w:w="2948"/>
            <w:shd w:fill="EEF1F8" w:val="clear"/>
          </w:tcPr>
          <w:p>
            <w:r>
              <w:rPr>
                <w:sz w:val="17"/>
              </w:rPr>
              <w:t>$10,200–$15,600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Project mgmt / contingency (~15%)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13–20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$7,800–$12,000</w:t>
            </w:r>
          </w:p>
        </w:tc>
      </w:tr>
      <w:tr>
        <w:tc>
          <w:tcPr>
            <w:tcW w:type="dxa" w:w="3969"/>
            <w:shd w:fill="EEF1F8" w:val="clear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99–148 person-days</w:t>
            </w:r>
          </w:p>
        </w:tc>
        <w:tc>
          <w:tcPr>
            <w:tcW w:type="dxa" w:w="2948"/>
            <w:shd w:fill="EEF1F8" w:val="clear"/>
          </w:tcPr>
          <w:p>
            <w:r>
              <w:rPr>
                <w:sz w:val="17"/>
              </w:rPr>
              <w:t>$59,400–$88,800</w:t>
            </w:r>
          </w:p>
        </w:tc>
      </w:tr>
    </w:tbl>
    <w:p>
      <w:pPr>
        <w:pStyle w:val="Heading2"/>
      </w:pPr>
      <w:r>
        <w:t>7.3 Indicative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02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Activities</w:t>
            </w:r>
          </w:p>
        </w:tc>
        <w:tc>
          <w:tcPr>
            <w:tcW w:type="dxa" w:w="170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Phase 1 – Foundation</w:t>
            </w:r>
          </w:p>
        </w:tc>
        <w:tc>
          <w:tcPr>
            <w:tcW w:type="dxa" w:w="5102"/>
            <w:shd w:fill="EEF1F8" w:val="clear"/>
          </w:tcPr>
          <w:p>
            <w:r>
              <w:rPr>
                <w:sz w:val="17"/>
              </w:rPr>
              <w:t>Setup, templates, design system, content extraction strategy.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7"/>
              </w:rPr>
              <w:t>Weeks 1–2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Phase 2 – Automated content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Literacy hub, newsroom, articles, global header/footer.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Weeks 2–4</w:t>
            </w:r>
          </w:p>
        </w:tc>
      </w:tr>
      <w:tr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Phase 3 – Transactional build</w:t>
            </w:r>
          </w:p>
        </w:tc>
        <w:tc>
          <w:tcPr>
            <w:tcW w:type="dxa" w:w="5102"/>
            <w:shd w:fill="EEF1F8" w:val="clear"/>
          </w:tcPr>
          <w:p>
            <w:r>
              <w:rPr>
                <w:sz w:val="17"/>
              </w:rPr>
              <w:t>Product/purchase, payment, activation templates + integrations.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7"/>
              </w:rPr>
              <w:t>Weeks 4–10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Phase 4 – Emma shell &amp; integrations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Portal shell, martech, payment/OTP wiring.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Weeks 9–12</w:t>
            </w:r>
          </w:p>
        </w:tc>
      </w:tr>
      <w:tr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Phase 5 – QA, UAT &amp; launch</w:t>
            </w:r>
          </w:p>
        </w:tc>
        <w:tc>
          <w:tcPr>
            <w:tcW w:type="dxa" w:w="5102"/>
            <w:shd w:fill="EEF1F8" w:val="clear"/>
          </w:tcPr>
          <w:p>
            <w:r>
              <w:rPr>
                <w:sz w:val="17"/>
              </w:rPr>
              <w:t>Functional/integration testing, UAT, performance, go-live.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7"/>
              </w:rPr>
              <w:t>Weeks 11–14</w:t>
            </w:r>
          </w:p>
        </w:tc>
      </w:tr>
    </w:tbl>
    <w:p/>
    <w:p>
      <w:r>
        <w:rPr>
          <w:i/>
          <w:sz w:val="17"/>
        </w:rPr>
        <w:t>Overall timeline: approximately 12–14 weeks with a small dedicated team (1 AEM lead, 1–2 AEM developers, 1 front-end/SPA developer, 1 QA, part-time PM/BA). Assumptions: timely access to AXA payment/OTP/policy APIs and Prismic content export; no full visual redesign; transactional SPAs are embedded rather than rebuilt from scratch. Full SPA rewrites, additional locales, or new design would increase effort materially.</w:t>
      </w:r>
    </w:p>
    <w:p>
      <w:r>
        <w:br w:type="page"/>
      </w:r>
    </w:p>
    <w:p>
      <w:pPr>
        <w:pStyle w:val="Heading1"/>
      </w:pPr>
      <w:r>
        <w:t>8. Appendix: Page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lit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T1 – Content / Literacy Hub Landing (finlithub) with welcome modal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startl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T2 – Product Landing (Health Start Lite) with section tabs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-insur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T2 – Product / Purchase Page with Metrobank co-branding &amp; 0% installment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-one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T3 – Payment Facility (one-time premium) with reCAPTCHA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activ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T4 – Personal Accident Activation (tabs + PIN entry)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r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T5 – Newsroom listing with category filter &amp; count badge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ma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T6 – Emma by AXA login / register portal</w:t>
      </w:r>
    </w:p>
    <w:p/>
    <w:p>
      <w:r>
        <w:br w:type="page"/>
      </w:r>
    </w:p>
    <w:p>
      <w:pPr>
        <w:pStyle w:val="Heading1"/>
      </w:pPr>
      <w:r>
        <w:t>9. Expanded Analysis: Hub Sub-Pages (Detail Templates)</w:t>
      </w:r>
    </w:p>
    <w:p>
      <w:r>
        <w:t>This section extends the analysis to the sub-pages that sit beneath three content hubs: the Newsroom (https://www.axa.com.ph/multimedia/newsroom), the Articles hub (https://www.axa.com.ph/multimedia/articles), and the Financial Literacy Hub (https://www.axa.com.ph/finlithub). The hub pages themselves were covered as templates T5 (Article Listing) and T1 (Content Landing) in earlier sections. Here we document the underlying listing routes and article-detail pages they link to.</w:t>
      </w:r>
    </w:p>
    <w:p>
      <w:r>
        <w:t>Crawling each hub (the pages are AngularJS SPAs, so links were harvested from the rendered DOM) revealed three additional, distinct detail/listing templates and a quantified content inventory. All detail pages are content-driven and map cleanly to AEM Core Components (Title, Text, Image, Teaser, List, Embed) with article bodies stored as Content Fragments — making them strong candidates for automated, bulk migration.</w:t>
      </w:r>
    </w:p>
    <w:p>
      <w:pPr>
        <w:pStyle w:val="Heading2"/>
      </w:pPr>
      <w:r>
        <w:t>9.1 Sub-Page Inventory (Counts)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Hub</w:t>
            </w:r>
          </w:p>
        </w:tc>
        <w:tc>
          <w:tcPr>
            <w:tcW w:type="dxa" w:w="306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Hub URL</w:t>
            </w:r>
          </w:p>
        </w:tc>
        <w:tc>
          <w:tcPr>
            <w:tcW w:type="dxa" w:w="3515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Sub-Page Structure</w:t>
            </w:r>
          </w:p>
        </w:tc>
        <w:tc>
          <w:tcPr>
            <w:tcW w:type="dxa" w:w="181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Sub-Pages Found</w:t>
            </w:r>
          </w:p>
        </w:tc>
      </w:tr>
      <w:tr>
        <w:tc>
          <w:tcPr>
            <w:tcW w:type="dxa" w:w="1361"/>
            <w:shd w:fill="EEF1F8" w:val="clear"/>
          </w:tcPr>
          <w:p>
            <w:r>
              <w:rPr>
                <w:sz w:val="16"/>
              </w:rPr>
              <w:t>Newsroom</w:t>
            </w:r>
          </w:p>
        </w:tc>
        <w:tc>
          <w:tcPr>
            <w:tcW w:type="dxa" w:w="3061"/>
            <w:shd w:fill="EEF1F8" w:val="clear"/>
          </w:tcPr>
          <w:p>
            <w:r>
              <w:rPr>
                <w:sz w:val="16"/>
              </w:rPr>
              <w:t>https://www.axa.com.ph/multimedia/newsroom</w:t>
            </w:r>
          </w:p>
        </w:tc>
        <w:tc>
          <w:tcPr>
            <w:tcW w:type="dxa" w:w="3515"/>
            <w:shd w:fill="EEF1F8" w:val="clear"/>
          </w:tcPr>
          <w:p>
            <w:r>
              <w:rPr>
                <w:sz w:val="16"/>
              </w:rPr>
              <w:t>Flat list of press-release detail pages under /multimedia/newsroom/{slug}. Hub shows total badge "20".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20 article detail pages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Articles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https://www.axa.com.ph/multimedia/articles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Flat list of FAQ/advisory detail pages under /multimedia/articles/{slug}. Hub shows total badge "20".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20 article detail pages</w:t>
            </w:r>
          </w:p>
        </w:tc>
      </w:tr>
      <w:tr>
        <w:tc>
          <w:tcPr>
            <w:tcW w:type="dxa" w:w="1361"/>
            <w:shd w:fill="EEF1F8" w:val="clear"/>
          </w:tcPr>
          <w:p>
            <w:r>
              <w:rPr>
                <w:sz w:val="16"/>
              </w:rPr>
              <w:t>FinLit Hub</w:t>
            </w:r>
          </w:p>
        </w:tc>
        <w:tc>
          <w:tcPr>
            <w:tcW w:type="dxa" w:w="3061"/>
            <w:shd w:fill="EEF1F8" w:val="clear"/>
          </w:tcPr>
          <w:p>
            <w:r>
              <w:rPr>
                <w:sz w:val="16"/>
              </w:rPr>
              <w:t>https://www.axa.com.ph/finlithub</w:t>
            </w:r>
          </w:p>
        </w:tc>
        <w:tc>
          <w:tcPr>
            <w:tcW w:type="dxa" w:w="3515"/>
            <w:shd w:fill="EEF1F8" w:val="clear"/>
          </w:tcPr>
          <w:p>
            <w:r>
              <w:rPr>
                <w:sz w:val="16"/>
              </w:rPr>
              <w:t>5 category listing routes, each with featured article + card grid + "LOAD MORE" pagination, linking to detail pages under /finlithub/{category}/{slug}.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5 category routes + ~25–35 article detail pages (paginated)</w:t>
            </w:r>
          </w:p>
        </w:tc>
      </w:tr>
      <w:tr>
        <w:tc>
          <w:tcPr>
            <w:tcW w:type="dxa" w:w="1361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30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3 hubs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≈ 65–75 sub-pages (40 newsroom+articles confirmed + ~25–35 finlithub)</w:t>
            </w:r>
          </w:p>
        </w:tc>
      </w:tr>
    </w:tbl>
    <w:p>
      <w:r>
        <w:rPr>
          <w:i/>
          <w:sz w:val="17"/>
        </w:rPr>
        <w:t>FinLit Hub category routes: /finlithub/get-started (Getting Insured 101), /finlithub/savings-and-investment, /finlithub/health-and-protection, /finlithub/income-protection, /finlithub/general-insurance (Lifestyle &amp; Asset Protection). Article counts per category are paginated via a "LOAD MORE" control, so totals are approximate from the first page(s) rendered.</w:t>
      </w:r>
    </w:p>
    <w:p>
      <w:pPr>
        <w:pStyle w:val="Heading2"/>
      </w:pPr>
      <w:r>
        <w:t>9.2 Additional Templates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85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969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362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 URL Examples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6"/>
              </w:rPr>
              <w:t>T7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FinLit Article Detail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969"/>
            <w:shd w:fill="EEF1F8" w:val="clear"/>
          </w:tcPr>
          <w:p>
            <w:r>
              <w:rPr>
                <w:sz w:val="16"/>
              </w:rPr>
              <w:t>Image hero + article title + category label + publish date / read-time + rich long-form body (headings, lists, bold, links) + "Share This Article" (FB/X/LinkedIn) + "Recommended Articles" card row + Back to Home. Pure content; maps to Title/Text/Image + Sharing + List (recommended).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6"/>
              </w:rPr>
              <w:t>https://www.axa.com.ph/finlithub/get-started/a-comprehensive-guide-to-navigating-insurance-policies ; .../finlithub/general-insurance/know-the-real-costs-of-owning-a-car</w:t>
            </w:r>
          </w:p>
        </w:tc>
      </w:tr>
      <w:tr>
        <w:tc>
          <w:tcPr>
            <w:tcW w:type="dxa" w:w="510"/>
          </w:tcPr>
          <w:p>
            <w:r>
              <w:rPr>
                <w:sz w:val="16"/>
              </w:rPr>
              <w:t>T8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Multimedia Detail (Newsroom &amp; Articles)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Shared template across both hubs: full-width banner + social share icons + breadcrumb back-link + article title + rich body (press release OR numbered FAQ) + media-contact block (newsroom). Content-only; bulk-importable as Content Fragments.</w:t>
            </w:r>
          </w:p>
        </w:tc>
        <w:tc>
          <w:tcPr>
            <w:tcW w:type="dxa" w:w="3628"/>
          </w:tcPr>
          <w:p>
            <w:r>
              <w:rPr>
                <w:sz w:val="16"/>
              </w:rPr>
              <w:t>https://www.axa.com.ph/multimedia/newsroom/axa-philippines-sweeps-seven-major-award-programs-in-2025 ; https://www.axa.com.ph/multimedia/articles/extended-grace-period-for-premium-payment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6"/>
              </w:rPr>
              <w:t>T9</w:t>
            </w:r>
          </w:p>
        </w:tc>
        <w:tc>
          <w:tcPr>
            <w:tcW w:type="dxa" w:w="1814"/>
            <w:shd w:fill="EEF1F8" w:val="clear"/>
          </w:tcPr>
          <w:p>
            <w:r>
              <w:rPr>
                <w:sz w:val="16"/>
              </w:rPr>
              <w:t>FinLit Category Listing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3969"/>
            <w:shd w:fill="EEF1F8" w:val="clear"/>
          </w:tcPr>
          <w:p>
            <w:r>
              <w:rPr>
                <w:sz w:val="16"/>
              </w:rPr>
              <w:t>Per-category route: featured article teaser + category filter tabs + article card grid + "LOAD MORE" pagination + persistent promo sidebar (Life Passions, Life Wellness Quiz, Emma). Maps to List + Teaser; pagination/filter is client-side JS.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6"/>
              </w:rPr>
              <w:t>https://www.axa.com.ph/finlithub/get-started ; .../finlithub/general-insurance ; .../finlithub/health-and-protection</w:t>
            </w:r>
          </w:p>
        </w:tc>
      </w:tr>
    </w:tbl>
    <w:p>
      <w:pPr>
        <w:pStyle w:val="Heading2"/>
      </w:pPr>
      <w:r>
        <w:t>9.3 Additional Components on Detail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54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AEM Core Component Mapping</w:t>
            </w:r>
          </w:p>
        </w:tc>
        <w:tc>
          <w:tcPr>
            <w:tcW w:type="dxa" w:w="850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628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C15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Article Hero / Banner Image</w:t>
            </w:r>
          </w:p>
        </w:tc>
        <w:tc>
          <w:tcPr>
            <w:tcW w:type="dxa" w:w="2154"/>
            <w:shd w:fill="EEF1F8" w:val="clear"/>
          </w:tcPr>
          <w:p>
            <w:r>
              <w:rPr>
                <w:sz w:val="15"/>
              </w:rPr>
              <w:t>Image / Teaser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Branded "What’s Your Game Plan" hero (FinLit) or Multimedia banner (newsroom/articles).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C16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Article Body (rich text)</w:t>
            </w:r>
          </w:p>
        </w:tc>
        <w:tc>
          <w:tcPr>
            <w:tcW w:type="dxa" w:w="2154"/>
          </w:tcPr>
          <w:p>
            <w:r>
              <w:rPr>
                <w:sz w:val="15"/>
              </w:rPr>
              <w:t>Text + Title + List + Image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Long-form content: headings, bold, bullet/numbered lists, inline links, embedded tables.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C17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Article Meta (category + date + read-time)</w:t>
            </w:r>
          </w:p>
        </w:tc>
        <w:tc>
          <w:tcPr>
            <w:tcW w:type="dxa" w:w="2154"/>
            <w:shd w:fill="EEF1F8" w:val="clear"/>
          </w:tcPr>
          <w:p>
            <w:r>
              <w:rPr>
                <w:sz w:val="15"/>
              </w:rPr>
              <w:t>Text / custom metadata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e.g. "GETTING INSURED 101 | 27 March 2026 | 4 Min Read". Best modeled as Content Fragment metadata.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C18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Social Share Bar</w:t>
            </w:r>
          </w:p>
        </w:tc>
        <w:tc>
          <w:tcPr>
            <w:tcW w:type="dxa" w:w="2154"/>
          </w:tcPr>
          <w:p>
            <w:r>
              <w:rPr>
                <w:sz w:val="15"/>
              </w:rPr>
              <w:t>Sharing (Core Component)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Facebook / X / LinkedIn share actions. Direct map to Core Components Sharing.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C19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Recommended / Related Articles</w:t>
            </w:r>
          </w:p>
        </w:tc>
        <w:tc>
          <w:tcPr>
            <w:tcW w:type="dxa" w:w="2154"/>
            <w:shd w:fill="EEF1F8" w:val="clear"/>
          </w:tcPr>
          <w:p>
            <w:r>
              <w:rPr>
                <w:sz w:val="15"/>
              </w:rPr>
              <w:t>List (query-driven) + Teaser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Row of 3 related article cards (FinLit). Driven by category/tag query in AEM.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C20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Breadcrumb / Back-to-hub link</w:t>
            </w:r>
          </w:p>
        </w:tc>
        <w:tc>
          <w:tcPr>
            <w:tcW w:type="dxa" w:w="2154"/>
          </w:tcPr>
          <w:p>
            <w:r>
              <w:rPr>
                <w:sz w:val="15"/>
              </w:rPr>
              <w:t>Breadcrumb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"← Newsroom" / "← Articles" / "← Back to Home" return navigation.</w:t>
            </w:r>
          </w:p>
        </w:tc>
      </w:tr>
      <w:tr>
        <w:tc>
          <w:tcPr>
            <w:tcW w:type="dxa" w:w="510"/>
            <w:shd w:fill="EEF1F8" w:val="clear"/>
          </w:tcPr>
          <w:p>
            <w:r>
              <w:rPr>
                <w:sz w:val="15"/>
              </w:rPr>
              <w:t>C21</w:t>
            </w:r>
          </w:p>
        </w:tc>
        <w:tc>
          <w:tcPr>
            <w:tcW w:type="dxa" w:w="1928"/>
            <w:shd w:fill="EEF1F8" w:val="clear"/>
          </w:tcPr>
          <w:p>
            <w:r>
              <w:rPr>
                <w:sz w:val="15"/>
              </w:rPr>
              <w:t>Load More / Pagination</w:t>
            </w:r>
          </w:p>
        </w:tc>
        <w:tc>
          <w:tcPr>
            <w:tcW w:type="dxa" w:w="2154"/>
            <w:shd w:fill="EEF1F8" w:val="clear"/>
          </w:tcPr>
          <w:p>
            <w:r>
              <w:rPr>
                <w:sz w:val="15"/>
              </w:rPr>
              <w:t>List with pagination (custom JS)</w:t>
            </w:r>
          </w:p>
        </w:tc>
        <w:tc>
          <w:tcPr>
            <w:tcW w:type="dxa" w:w="850"/>
            <w:shd w:fill="EEF1F8" w:val="clear"/>
          </w:tcPr>
          <w:p>
            <w:r>
              <w:rPr>
                <w:sz w:val="15"/>
              </w:rPr>
              <w:t>Low–Medium</w:t>
            </w:r>
          </w:p>
        </w:tc>
        <w:tc>
          <w:tcPr>
            <w:tcW w:type="dxa" w:w="3628"/>
            <w:shd w:fill="EEF1F8" w:val="clear"/>
          </w:tcPr>
          <w:p>
            <w:r>
              <w:rPr>
                <w:sz w:val="15"/>
              </w:rPr>
              <w:t>Incremental loading of article cards on FinLit category routes.</w:t>
            </w:r>
          </w:p>
        </w:tc>
      </w:tr>
      <w:tr>
        <w:tc>
          <w:tcPr>
            <w:tcW w:type="dxa" w:w="510"/>
          </w:tcPr>
          <w:p>
            <w:r>
              <w:rPr>
                <w:sz w:val="15"/>
              </w:rPr>
              <w:t>C22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Media Contact Block</w:t>
            </w:r>
          </w:p>
        </w:tc>
        <w:tc>
          <w:tcPr>
            <w:tcW w:type="dxa" w:w="2154"/>
          </w:tcPr>
          <w:p>
            <w:r>
              <w:rPr>
                <w:sz w:val="15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Newsroom press releases end with "FOR MORE INFORMATION" media-relations contacts (mailto links).</w:t>
            </w:r>
          </w:p>
        </w:tc>
      </w:tr>
    </w:tbl>
    <w:p>
      <w:pPr>
        <w:pStyle w:val="Heading2"/>
      </w:pPr>
      <w:r>
        <w:t>9.4 Migration Impact &amp; Revised Counts</w:t>
      </w:r>
    </w:p>
    <w:p>
      <w:pPr>
        <w:pStyle w:val="ListBullet"/>
        <w:spacing w:after="40"/>
      </w:pPr>
      <w:r>
        <w:t>All ~65–75 sub-pages are content-driven detail/listing pages → AUTOMATED migration. They reuse only 3 templates (T7, T8, T9), so build effort is per-template, not per-page.</w:t>
      </w:r>
    </w:p>
    <w:p>
      <w:pPr>
        <w:pStyle w:val="ListBullet"/>
        <w:spacing w:after="40"/>
      </w:pPr>
      <w:r>
        <w:t>Recommended modeling: one Content Fragment Model for "Article" (title, category, date, read-time, hero image, body, related-article refs) serving FinLit, Newsroom, and Articles; listing pages use the Core Components List with query filters.</w:t>
      </w:r>
    </w:p>
    <w:p>
      <w:pPr>
        <w:pStyle w:val="ListBullet"/>
        <w:spacing w:after="40"/>
      </w:pPr>
      <w:r>
        <w:t>Newsroom and Articles share a single detail template (T8) despite different content styles (press release vs. FAQ) — no separate template needed.</w:t>
      </w:r>
    </w:p>
    <w:p>
      <w:pPr>
        <w:pStyle w:val="ListBullet"/>
        <w:spacing w:after="40"/>
      </w:pPr>
      <w:r>
        <w:t>Bulk content extraction from Prismic + scripted import into Content Fragments is the key automation lever; manual effort is limited to template build, related-article query setup, and QA.</w:t>
      </w:r>
    </w:p>
    <w:p>
      <w:pPr>
        <w:pStyle w:val="ListBullet"/>
        <w:spacing w:after="40"/>
      </w:pPr>
      <w:r>
        <w:t>Dynamic behaviors to reproduce: category filtering (FinLit tabs, Newsroom ALL/Newsroom/CSR), "LOAD MORE" pagination, and the social-share bar.</w:t>
      </w:r>
    </w:p>
    <w:p>
      <w:pPr>
        <w:pStyle w:val="Heading3"/>
      </w:pPr>
      <w:r>
        <w:t>Revised Page-Count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19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70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Pages</w:t>
            </w:r>
          </w:p>
        </w:tc>
        <w:tc>
          <w:tcPr>
            <w:tcW w:type="dxa" w:w="2551"/>
            <w:shd w:fill="00008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Migration Mode</w:t>
            </w:r>
          </w:p>
        </w:tc>
      </w:tr>
      <w:tr>
        <w:tc>
          <w:tcPr>
            <w:tcW w:type="dxa" w:w="4819"/>
            <w:shd w:fill="EEF1F8" w:val="clear"/>
          </w:tcPr>
          <w:p>
            <w:r>
              <w:rPr>
                <w:sz w:val="17"/>
              </w:rPr>
              <w:t>Original 21 supplied URLs (hub/landing/product/payment/portal)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7"/>
              </w:rPr>
              <w:t>20 live</w:t>
            </w:r>
          </w:p>
        </w:tc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Mixed (≈4 automated, ≈16 manual)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Newsroom detail sub-pages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Automated</w:t>
            </w:r>
          </w:p>
        </w:tc>
      </w:tr>
      <w:tr>
        <w:tc>
          <w:tcPr>
            <w:tcW w:type="dxa" w:w="4819"/>
            <w:shd w:fill="EEF1F8" w:val="clear"/>
          </w:tcPr>
          <w:p>
            <w:r>
              <w:rPr>
                <w:sz w:val="17"/>
              </w:rPr>
              <w:t>Articles detail sub-pages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Automated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FinLit category routes + article details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≈30–40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Automated</w:t>
            </w:r>
          </w:p>
        </w:tc>
      </w:tr>
      <w:tr>
        <w:tc>
          <w:tcPr>
            <w:tcW w:type="dxa" w:w="4819"/>
            <w:shd w:fill="EEF1F8" w:val="clear"/>
          </w:tcPr>
          <w:p>
            <w:r>
              <w:rPr>
                <w:sz w:val="17"/>
              </w:rPr>
              <w:t>REVISED TOTAL (in scope)</w:t>
            </w:r>
          </w:p>
        </w:tc>
        <w:tc>
          <w:tcPr>
            <w:tcW w:type="dxa" w:w="1701"/>
            <w:shd w:fill="EEF1F8" w:val="clear"/>
          </w:tcPr>
          <w:p>
            <w:r>
              <w:rPr>
                <w:sz w:val="17"/>
              </w:rPr>
              <w:t>≈90–100 pages</w:t>
            </w:r>
          </w:p>
        </w:tc>
        <w:tc>
          <w:tcPr>
            <w:tcW w:type="dxa" w:w="2551"/>
            <w:shd w:fill="EEF1F8" w:val="clear"/>
          </w:tcPr>
          <w:p>
            <w:r>
              <w:rPr>
                <w:sz w:val="17"/>
              </w:rPr>
              <w:t>≈74–84 automated, ≈16 manual</w:t>
            </w:r>
          </w:p>
        </w:tc>
      </w:tr>
    </w:tbl>
    <w:p/>
    <w:p>
      <w:r>
        <w:rPr>
          <w:i/>
          <w:sz w:val="17"/>
        </w:rPr>
        <w:t>Estimate impact: the additional ~65–75 sub-pages fall almost entirely in the automated bucket and reuse 3 templates. Incremental effort is modest — approximately 6–10 person-days (Article Content Fragment model + T7/T8/T9 templates + related-article query + bulk import scripting), plus ~3–5 person-days of content QA across the migrated articles. This raises the overall estimate from ~99–148 to roughly ~108–163 person-days; the timeline is largely unchanged (the work parallelizes with Phase 2 automated content migration).</w:t>
      </w:r>
    </w:p>
    <w:p>
      <w:pPr>
        <w:pStyle w:val="Heading2"/>
      </w:pPr>
      <w:r>
        <w:t>9.5 Sub-Page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lithub-article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T7 – FinLit Article Detail (hero, title, category/date/read-time, rich body, share, recommended)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room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T8 – Multimedia Detail: Newsroom press release (banner, share, breadcrumb, body, media contacts)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s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E6E6E"/>
          <w:sz w:val="16"/>
        </w:rPr>
        <w:t>T8 – Multimedia Detail: Articles FAQ-style content (same template, different content type)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8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