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将本 DOCM 与待处理公文放在同一文件夹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双击：公文页码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双击：公文页码</w:t>
            </w:r>
            <w:r>
              <w:fldChar w:fldCharType="end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按钮使用高光和阴影边框；多文件时自动打开原生文件选择框，可用上下方向键选择并按 Enter。仅在选择框不可用时输入序号。WPS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方案 B  WPS JSA 控制台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</dc:title>
  <dc:creator>Codex</dc:creator>
  <dc:description>嵌入 WPS JSA 宏和可执行 MacroButton 字段的方案 B 控制台</dc:description>
  <cp:lastModifiedBy>Un-named</cp:lastModifiedBy>
  <cp:revision>1</cp:revision>
  <dcterms:created xsi:type="dcterms:W3CDTF">2026-08-07T01:16:07.516Z</dcterms:created>
  <dcterms:modified xsi:type="dcterms:W3CDTF">2026-08-07T01:16:07.529Z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