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C9A04">
      <w:pPr>
        <w:spacing w:after="80"/>
        <w:jc w:val="center"/>
      </w:pPr>
      <w:r>
        <w:rPr>
          <w:b/>
          <w:color w:val="0F172A"/>
          <w:sz w:val="28"/>
        </w:rPr>
        <w:t>DOCUMENTO PRIVADO DE CONSTITUCIÓN Y ESTATUTOS SOCIALES</w:t>
      </w:r>
      <w:r>
        <w:rPr>
          <w:b/>
          <w:color w:val="0F172A"/>
          <w:sz w:val="28"/>
        </w:rPr>
        <w:br w:type="textWrapping"/>
      </w:r>
      <w:r>
        <w:rPr>
          <w:b/>
          <w:color w:val="0F172A"/>
          <w:sz w:val="28"/>
        </w:rPr>
        <w:t>DE LA SOCIEDAD POR ACCIONES SIMPLIFICADA</w:t>
      </w:r>
      <w:r>
        <w:rPr>
          <w:b/>
          <w:color w:val="0F172A"/>
          <w:sz w:val="28"/>
        </w:rPr>
        <w:br w:type="textWrapping"/>
      </w:r>
      <w:r>
        <w:rPr>
          <w:b/>
          <w:color w:val="0F172A"/>
          <w:sz w:val="28"/>
        </w:rPr>
        <w:t>CLOUDTICKETS S.A.S.</w:t>
      </w:r>
    </w:p>
    <w:p w14:paraId="5FA10994">
      <w:pPr>
        <w:spacing w:after="360"/>
        <w:jc w:val="center"/>
      </w:pPr>
      <w:r>
        <w:rPr>
          <w:b/>
          <w:color w:val="1E3A8A"/>
          <w:sz w:val="21"/>
        </w:rPr>
        <w:t>(CONSTITUIDA DE CONFORMIDAD CON LA LEY 1258 DE 2008 DE LA REPÚBLICA DE COLOMBIA)</w:t>
      </w:r>
    </w:p>
    <w:p w14:paraId="31010EF1">
      <w:r>
        <w:t xml:space="preserve">En la ciudad de Tuluá, Departamento del Valle del Cauca, República de Colombia, el suscrito accionista constituyente: </w:t>
      </w:r>
      <w:r>
        <w:rPr>
          <w:b/>
        </w:rPr>
        <w:t>RONNY GARCIA GALLEGO</w:t>
      </w:r>
      <w:r>
        <w:t xml:space="preserve">, mayor de edad, domiciliado en la ciudad de Tuluá, Valle del Cauca, identificado con Cédula de Ciudadanía Número </w:t>
      </w:r>
      <w:r>
        <w:rPr>
          <w:b/>
        </w:rPr>
        <w:t>1.116.248.661</w:t>
      </w:r>
      <w:r>
        <w:t xml:space="preserve"> expedida en Tuluá, de nacionalidad colombiana, procedo mediante el presente documento privado, en ejercicio de la libertad de configuración contractual otorgada por la </w:t>
      </w:r>
      <w:r>
        <w:rPr>
          <w:b/>
        </w:rPr>
        <w:t>Ley 1258 de 2008</w:t>
      </w:r>
      <w:r>
        <w:t>, a constituir una Sociedad por Acciones Simplificada (S.A.S.) que se regirá por las leyes colombianas y en especial por los siguientes estatutos sociales:</w:t>
      </w:r>
    </w:p>
    <w:p w14:paraId="1F0FDD72">
      <w:r>
        <w:rPr>
          <w:b/>
        </w:rPr>
        <w:t>CAPÍTULO I – RAZÓN SOCIAL, DOMICILIO, OBJETO Y DURACIÓN</w:t>
      </w:r>
    </w:p>
    <w:p w14:paraId="1780F5E9">
      <w:pPr>
        <w:spacing w:before="280" w:after="80"/>
      </w:pPr>
      <w:r>
        <w:rPr>
          <w:b/>
          <w:color w:val="1E3A8A"/>
          <w:sz w:val="23"/>
        </w:rPr>
        <w:t>ARTÍCULO 1º –</w:t>
      </w:r>
      <w:r>
        <w:rPr>
          <w:b/>
          <w:color w:val="0F172A"/>
          <w:sz w:val="23"/>
        </w:rPr>
        <w:t xml:space="preserve"> RAZÓN SOCIAL:</w:t>
      </w:r>
    </w:p>
    <w:p w14:paraId="1E13BB01">
      <w:r>
        <w:t>La sociedad se denominará CLOUDTICKETS S.A.S. En todas las actuaciones de la sociedad, su nombre irá seguido de las palabras 'Sociedad por Acciones Simplificada' o de las iniciales 'S.A.S.'.</w:t>
      </w:r>
    </w:p>
    <w:p w14:paraId="221CCA65">
      <w:pPr>
        <w:spacing w:before="280" w:after="80"/>
      </w:pPr>
      <w:r>
        <w:rPr>
          <w:b/>
          <w:color w:val="1E3A8A"/>
          <w:sz w:val="23"/>
        </w:rPr>
        <w:t>ARTÍCULO 2º –</w:t>
      </w:r>
      <w:r>
        <w:rPr>
          <w:b/>
          <w:color w:val="0F172A"/>
          <w:sz w:val="23"/>
        </w:rPr>
        <w:t xml:space="preserve"> DOMICILIO PRINCIPAL:</w:t>
      </w:r>
    </w:p>
    <w:p w14:paraId="2923097D">
      <w:pPr>
        <w:rPr>
          <w:rFonts w:hint="default"/>
          <w:lang w:val="es-ES"/>
        </w:rPr>
      </w:pPr>
      <w:r>
        <w:t>El domicilio principal de la sociedad será el municipio de Tuluá, Departamento del Valle del Cauca, República de Colombia. La sociedad podrá establecer sucursales, agencias, filiales o salas de negocios en cualquier lugar del territorio nacional o del exterior, por decisión del Representante Legal o de la Asamblea General de Accionistas.</w:t>
      </w:r>
      <w:r>
        <w:rPr>
          <w:rFonts w:hint="default"/>
          <w:lang w:val="es-ES"/>
        </w:rPr>
        <w:t xml:space="preserve"> La primera sede se tendra en la calle 5B 22 15 y numero de telefono 300 781 1699</w:t>
      </w:r>
      <w:bookmarkStart w:id="0" w:name="_GoBack"/>
      <w:bookmarkEnd w:id="0"/>
    </w:p>
    <w:p w14:paraId="43E46C0E">
      <w:pPr>
        <w:spacing w:before="280" w:after="80"/>
      </w:pPr>
      <w:r>
        <w:rPr>
          <w:b/>
          <w:color w:val="1E3A8A"/>
          <w:sz w:val="23"/>
        </w:rPr>
        <w:t>ARTÍCULO 3º –</w:t>
      </w:r>
      <w:r>
        <w:rPr>
          <w:b/>
          <w:color w:val="0F172A"/>
          <w:sz w:val="23"/>
        </w:rPr>
        <w:t xml:space="preserve"> OBJETO SOCIAL:</w:t>
      </w:r>
    </w:p>
    <w:p w14:paraId="771A5B2C">
      <w:r>
        <w:t>La sociedad tendrá como objeto social principal el desarrollo, diseño, comercialización, operación, mantenimiento y licenciamiento de soluciones tecnológicas e infraestructura de software como servicio (SaaS), destinadas a la gestión digital de eventos, emisión de boletería electrónica, soluciones de control de acceso mediante códigos QR, tecnología NFC y biometría, y pasarelas de intermediación digital de pagos.</w:t>
      </w:r>
    </w:p>
    <w:p w14:paraId="6E0448B3">
      <w:r>
        <w:t>En desarrollo de su objeto social, la sociedad podrá realizar cualquier actividad comercial o civil lícita tanto en Colombia como en el exterior, incluyendo pero sin limitarse a:</w:t>
      </w:r>
    </w:p>
    <w:p w14:paraId="40568DFD">
      <w:pPr>
        <w:spacing w:after="40"/>
        <w:ind w:left="432"/>
      </w:pPr>
      <w:r>
        <w:t>A. Desarrollo, programación, hospedaje e integración de aplicaciones web, móviles y sistemas de procesamiento de datos en la nube.</w:t>
      </w:r>
    </w:p>
    <w:p w14:paraId="6AE93C5E">
      <w:pPr>
        <w:spacing w:after="40"/>
        <w:ind w:left="432"/>
      </w:pPr>
      <w:r>
        <w:t>B. Licenciamiento de software bajo modalidad SaaS (Software as a Service) a organizadores, empresarios y productores de eventos.</w:t>
      </w:r>
    </w:p>
    <w:p w14:paraId="224E63A1">
      <w:pPr>
        <w:spacing w:after="40"/>
        <w:ind w:left="432"/>
      </w:pPr>
      <w:r>
        <w:t>C. Prestación de servicios de consultoría informática, analítica de datos, infraestructura de servidores y soporte técnico.</w:t>
      </w:r>
    </w:p>
    <w:p w14:paraId="01EE198D">
      <w:pPr>
        <w:spacing w:after="40"/>
        <w:ind w:left="432"/>
      </w:pPr>
      <w:r>
        <w:t>D. Celebración de contratos de mandato comercial de recaudo por cuenta de terceros, alianzas con pasarelas de pago y entidades financieras.</w:t>
      </w:r>
    </w:p>
    <w:p w14:paraId="1349850D">
      <w:pPr>
        <w:spacing w:after="40"/>
        <w:ind w:left="432"/>
      </w:pPr>
      <w:r>
        <w:t>E. Importación, exportación, arrendamiento y comercialización de equipos tecnológicos y dispositivos de lectura y validación.</w:t>
      </w:r>
    </w:p>
    <w:p w14:paraId="3D167EF2">
      <w:pPr>
        <w:spacing w:after="40"/>
        <w:ind w:left="432"/>
      </w:pPr>
      <w:r>
        <w:t>F. Adquirir, enajenar, gravar o dar en arrendamiento bienes muebles e inmuebles vinculados al desarrollo de la empresa.</w:t>
      </w:r>
    </w:p>
    <w:p w14:paraId="28348267">
      <w:r>
        <w:t>PARÁGRAFO ESPECIAL (Exención Ley 1493 de 2011): De conformidad con la legislación colombiana, la sociedad CLOUDTICKETS S.A.S. opera exclusivamente en calidad de Proveedor de Infraestructura Tecnológica (SaaS). La sociedad no actúa como operador de boletería ni tiquetera pública registrada en los términos de la Ley 1493 de 2011, recayendo la responsabilidad de emisión y tributación sobre los organizadores contratantes.</w:t>
      </w:r>
    </w:p>
    <w:p w14:paraId="2579671B">
      <w:pPr>
        <w:spacing w:before="280" w:after="80"/>
      </w:pPr>
      <w:r>
        <w:rPr>
          <w:b/>
          <w:color w:val="1E3A8A"/>
          <w:sz w:val="23"/>
        </w:rPr>
        <w:t>ARTÍCULO 4º –</w:t>
      </w:r>
      <w:r>
        <w:rPr>
          <w:b/>
          <w:color w:val="0F172A"/>
          <w:sz w:val="23"/>
        </w:rPr>
        <w:t xml:space="preserve"> DURACIÓN:</w:t>
      </w:r>
    </w:p>
    <w:p w14:paraId="3D33699C">
      <w:r>
        <w:t>El término de duración de la sociedad será INDEFINIDO, de conformidad con lo establecido en el numeral 5º del Artículo 5º de la Ley 1258 de 2008.</w:t>
      </w:r>
    </w:p>
    <w:p w14:paraId="7B76F842">
      <w:pPr>
        <w:spacing w:before="240"/>
      </w:pPr>
    </w:p>
    <w:p w14:paraId="4DF7F701">
      <w:r>
        <w:rPr>
          <w:b/>
        </w:rPr>
        <w:t>CAPÍTULO II – CAPITAL SOCIAL Y ACCIONES</w:t>
      </w:r>
    </w:p>
    <w:p w14:paraId="496549A9">
      <w:pPr>
        <w:spacing w:before="280" w:after="80"/>
      </w:pPr>
      <w:r>
        <w:rPr>
          <w:b/>
          <w:color w:val="1E3A8A"/>
          <w:sz w:val="23"/>
        </w:rPr>
        <w:t>ARTÍCULO 5º –</w:t>
      </w:r>
      <w:r>
        <w:rPr>
          <w:b/>
          <w:color w:val="0F172A"/>
          <w:sz w:val="23"/>
        </w:rPr>
        <w:t xml:space="preserve"> CAPITAL AUTORIZADO, SUSCRITO Y PAGADO:</w:t>
      </w:r>
    </w:p>
    <w:p w14:paraId="17FB465D">
      <w:r>
        <w:t>El capital de la sociedad se estructura de la siguiente manera:</w:t>
      </w:r>
    </w:p>
    <w:p w14:paraId="61FC696D">
      <w:pPr>
        <w:spacing w:after="60"/>
        <w:ind w:left="288"/>
      </w:pPr>
      <w:r>
        <w:rPr>
          <w:b/>
        </w:rPr>
        <w:t xml:space="preserve">• Capital Autorizado: </w:t>
      </w:r>
      <w:r>
        <w:t>DIEZ MILLONES DE PESOS COLOMBIANOS M/CTE ($10.000.000 COP), dividido en 10.000 acciones ordinarias de valor nominal de UN MIL PESOS COLOMBIANOS M/CTE ($1.000 COP) cada una.</w:t>
      </w:r>
    </w:p>
    <w:p w14:paraId="21734C65">
      <w:pPr>
        <w:spacing w:after="60"/>
        <w:ind w:left="288"/>
      </w:pPr>
      <w:r>
        <w:rPr>
          <w:b/>
        </w:rPr>
        <w:t xml:space="preserve">• Capital Suscrito: </w:t>
      </w:r>
      <w:r>
        <w:t>DIEZ MILLONES DE PESOS COLOMBIANOS M/CTE ($10.000.000 COP), representado en 10.000 acciones ordinarias de valor nominal de $1.000 COP cada una.</w:t>
      </w:r>
    </w:p>
    <w:p w14:paraId="7160AEE2">
      <w:pPr>
        <w:spacing w:after="60"/>
        <w:ind w:left="288"/>
      </w:pPr>
      <w:r>
        <w:rPr>
          <w:b/>
        </w:rPr>
        <w:t xml:space="preserve">• Capital Pagado: </w:t>
      </w:r>
      <w:r>
        <w:t>DIEZ MILLONES DE PESOS COLOMBIANOS M/CTE ($10.000.000 COP), cancelados en su totalidad por el accionista constituyente al momento de la suscripción.</w:t>
      </w:r>
    </w:p>
    <w:p w14:paraId="6F026DA7">
      <w:pPr>
        <w:spacing w:before="280" w:after="80"/>
      </w:pPr>
      <w:r>
        <w:rPr>
          <w:b/>
          <w:color w:val="1E3A8A"/>
          <w:sz w:val="23"/>
        </w:rPr>
        <w:t>ARTÍCULO 6º –</w:t>
      </w:r>
      <w:r>
        <w:rPr>
          <w:b/>
          <w:color w:val="0F172A"/>
          <w:sz w:val="23"/>
        </w:rPr>
        <w:t xml:space="preserve"> COMPOSICIÓN DE ACCIONISTAS Y COMPOSICIÓN DE CAPITAL:</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054D1E4C">
        <w:tblPrEx>
          <w:tblCellMar>
            <w:top w:w="0" w:type="dxa"/>
            <w:left w:w="108" w:type="dxa"/>
            <w:bottom w:w="0" w:type="dxa"/>
            <w:right w:w="108" w:type="dxa"/>
          </w:tblCellMar>
        </w:tblPrEx>
        <w:trPr>
          <w:jc w:val="center"/>
        </w:trPr>
        <w:tc>
          <w:tcPr>
            <w:tcW w:w="2340" w:type="dxa"/>
            <w:shd w:val="clear" w:color="auto" w:fill="0F172A"/>
          </w:tcPr>
          <w:p w14:paraId="438B1840">
            <w:pPr>
              <w:jc w:val="center"/>
            </w:pPr>
            <w:r>
              <w:rPr>
                <w:b/>
                <w:color w:val="FFFFFF"/>
                <w:sz w:val="19"/>
              </w:rPr>
              <w:t>Accionista</w:t>
            </w:r>
          </w:p>
        </w:tc>
        <w:tc>
          <w:tcPr>
            <w:tcW w:w="2340" w:type="dxa"/>
            <w:shd w:val="clear" w:color="auto" w:fill="0F172A"/>
          </w:tcPr>
          <w:p w14:paraId="19B50B12">
            <w:pPr>
              <w:jc w:val="center"/>
            </w:pPr>
            <w:r>
              <w:rPr>
                <w:b/>
                <w:color w:val="FFFFFF"/>
                <w:sz w:val="19"/>
              </w:rPr>
              <w:t>Cédula / NIT</w:t>
            </w:r>
          </w:p>
        </w:tc>
        <w:tc>
          <w:tcPr>
            <w:tcW w:w="2340" w:type="dxa"/>
            <w:shd w:val="clear" w:color="auto" w:fill="0F172A"/>
          </w:tcPr>
          <w:p w14:paraId="647F08B9">
            <w:pPr>
              <w:jc w:val="center"/>
            </w:pPr>
            <w:r>
              <w:rPr>
                <w:b/>
                <w:color w:val="FFFFFF"/>
                <w:sz w:val="19"/>
              </w:rPr>
              <w:t>No. Acciones</w:t>
            </w:r>
          </w:p>
        </w:tc>
        <w:tc>
          <w:tcPr>
            <w:tcW w:w="2340" w:type="dxa"/>
            <w:shd w:val="clear" w:color="auto" w:fill="0F172A"/>
          </w:tcPr>
          <w:p w14:paraId="0D2CF177">
            <w:pPr>
              <w:jc w:val="center"/>
            </w:pPr>
            <w:r>
              <w:rPr>
                <w:b/>
                <w:color w:val="FFFFFF"/>
                <w:sz w:val="19"/>
              </w:rPr>
              <w:t>Capital Pagado ($)</w:t>
            </w:r>
          </w:p>
        </w:tc>
      </w:tr>
      <w:tr w14:paraId="732B9B42">
        <w:tblPrEx>
          <w:tblCellMar>
            <w:top w:w="0" w:type="dxa"/>
            <w:left w:w="108" w:type="dxa"/>
            <w:bottom w:w="0" w:type="dxa"/>
            <w:right w:w="108" w:type="dxa"/>
          </w:tblCellMar>
        </w:tblPrEx>
        <w:trPr>
          <w:jc w:val="center"/>
        </w:trPr>
        <w:tc>
          <w:tcPr>
            <w:tcW w:w="2340" w:type="dxa"/>
          </w:tcPr>
          <w:p w14:paraId="31578B42">
            <w:pPr>
              <w:spacing w:before="40" w:after="40"/>
            </w:pPr>
            <w:r>
              <w:rPr>
                <w:sz w:val="19"/>
              </w:rPr>
              <w:t>RONNY GARCIA GALLEGO</w:t>
            </w:r>
          </w:p>
        </w:tc>
        <w:tc>
          <w:tcPr>
            <w:tcW w:w="2340" w:type="dxa"/>
          </w:tcPr>
          <w:p w14:paraId="2600E3AC">
            <w:pPr>
              <w:spacing w:before="40" w:after="40"/>
              <w:jc w:val="center"/>
            </w:pPr>
            <w:r>
              <w:rPr>
                <w:sz w:val="19"/>
              </w:rPr>
              <w:t>1.116.248.661</w:t>
            </w:r>
          </w:p>
        </w:tc>
        <w:tc>
          <w:tcPr>
            <w:tcW w:w="2340" w:type="dxa"/>
          </w:tcPr>
          <w:p w14:paraId="550A1735">
            <w:pPr>
              <w:spacing w:before="40" w:after="40"/>
              <w:jc w:val="center"/>
            </w:pPr>
            <w:r>
              <w:rPr>
                <w:sz w:val="19"/>
              </w:rPr>
              <w:t>10.000 (100%)</w:t>
            </w:r>
          </w:p>
        </w:tc>
        <w:tc>
          <w:tcPr>
            <w:tcW w:w="2340" w:type="dxa"/>
          </w:tcPr>
          <w:p w14:paraId="588714FA">
            <w:pPr>
              <w:spacing w:before="40" w:after="40"/>
              <w:jc w:val="center"/>
            </w:pPr>
            <w:r>
              <w:rPr>
                <w:sz w:val="19"/>
              </w:rPr>
              <w:t>$10.000.000 COP</w:t>
            </w:r>
          </w:p>
        </w:tc>
      </w:tr>
    </w:tbl>
    <w:p w14:paraId="3820F6EA">
      <w:pPr>
        <w:spacing w:before="280" w:after="80"/>
      </w:pPr>
      <w:r>
        <w:rPr>
          <w:b/>
          <w:color w:val="1E3A8A"/>
          <w:sz w:val="23"/>
        </w:rPr>
        <w:t>ARTÍCULO 7º –</w:t>
      </w:r>
      <w:r>
        <w:rPr>
          <w:b/>
          <w:color w:val="0F172A"/>
          <w:sz w:val="23"/>
        </w:rPr>
        <w:t xml:space="preserve"> DERECHOS CONFERIDOS POR LAS ACCIONES:</w:t>
      </w:r>
    </w:p>
    <w:p w14:paraId="67922F44">
      <w:r>
        <w:t>Todas las acciones en que se divide el capital de la sociedad son ordinarias, de igual valor nominativo y otorgan a su titular los derechos estipulados en el Artículo 379 del Código de Comercio y la Ley 1258 de 2008, en especial el derecho a voto en las deliberaciones de la Asamblea General de Accionistas y a recibir utilidades o dividendos.</w:t>
      </w:r>
    </w:p>
    <w:p w14:paraId="0EA0BFD5">
      <w:pPr>
        <w:spacing w:before="240"/>
      </w:pPr>
    </w:p>
    <w:p w14:paraId="2F41ABC6">
      <w:r>
        <w:rPr>
          <w:b/>
        </w:rPr>
        <w:t>CAPÍTULO III – ÓRGANOS DE ADMINISTRACIÓN Y DIRECCIÓN</w:t>
      </w:r>
    </w:p>
    <w:p w14:paraId="755B9003">
      <w:pPr>
        <w:spacing w:before="280" w:after="80"/>
      </w:pPr>
      <w:r>
        <w:rPr>
          <w:b/>
          <w:color w:val="1E3A8A"/>
          <w:sz w:val="23"/>
        </w:rPr>
        <w:t>ARTÍCULO 8º –</w:t>
      </w:r>
      <w:r>
        <w:rPr>
          <w:b/>
          <w:color w:val="0F172A"/>
          <w:sz w:val="23"/>
        </w:rPr>
        <w:t xml:space="preserve"> ESTRUCTURA ORGÁNICA:</w:t>
      </w:r>
    </w:p>
    <w:p w14:paraId="00473215">
      <w:r>
        <w:t>La dirección, administración y representación legal de la sociedad estará a cargo de los siguientes órganos:</w:t>
      </w:r>
      <w:r>
        <w:br w:type="textWrapping"/>
      </w:r>
      <w:r>
        <w:t>1. La Asamblea General de Accionistas (órgano supremo de dirección).</w:t>
      </w:r>
      <w:r>
        <w:br w:type="textWrapping"/>
      </w:r>
      <w:r>
        <w:t>2. El Representante Legal (órgano ejecutivo de gestión y administración).</w:t>
      </w:r>
    </w:p>
    <w:p w14:paraId="57956F70">
      <w:r>
        <w:t>PARÁGRAFO: La sociedad NO tendrá Junta Directiva, asumiendo el Representante Legal la totalidad de las funciones de gestión y administración que la ley o los estatutos no reserven a la Asamblea General.</w:t>
      </w:r>
    </w:p>
    <w:p w14:paraId="1FDA0A3A">
      <w:pPr>
        <w:spacing w:before="280" w:after="80"/>
      </w:pPr>
      <w:r>
        <w:rPr>
          <w:b/>
          <w:color w:val="1E3A8A"/>
          <w:sz w:val="23"/>
        </w:rPr>
        <w:t>ARTÍCULO 9º –</w:t>
      </w:r>
      <w:r>
        <w:rPr>
          <w:b/>
          <w:color w:val="0F172A"/>
          <w:sz w:val="23"/>
        </w:rPr>
        <w:t xml:space="preserve"> ASAMBLEA GENERAL DE ACCIONISTAS:</w:t>
      </w:r>
    </w:p>
    <w:p w14:paraId="248CA2D5">
      <w:r>
        <w:t>La Asamblea General de Accionistas la conforma el único accionista o los accionistas inscritos en el Libro de Registro de Acciones. Mientras la sociedad permanezca con accionista único, este ejercerá todas las atribuciones de la Asamblea General y sus decisiones se consignarán en actas debidamente firmadas por él.</w:t>
      </w:r>
    </w:p>
    <w:p w14:paraId="55B6F2AC">
      <w:pPr>
        <w:spacing w:before="280" w:after="80"/>
      </w:pPr>
      <w:r>
        <w:rPr>
          <w:b/>
          <w:color w:val="1E3A8A"/>
          <w:sz w:val="23"/>
        </w:rPr>
        <w:t>ARTÍCULO 10º –</w:t>
      </w:r>
      <w:r>
        <w:rPr>
          <w:b/>
          <w:color w:val="0F172A"/>
          <w:sz w:val="23"/>
        </w:rPr>
        <w:t xml:space="preserve"> REPRESENTACIÓN LEGAL Y NOMBRAMIENTO:</w:t>
      </w:r>
    </w:p>
    <w:p w14:paraId="646B4DA6">
      <w:r>
        <w:t>La representación legal de la sociedad CLOUDTICKETS S.A.S., su administración ejecutiva y la gestión de sus negocios estará a cargo de un REPRESENTANTE LEGAL titular, quien podrá contar con un Suplente para sus faltas absolutas, temporales o accidentales.</w:t>
      </w:r>
    </w:p>
    <w:p w14:paraId="00284CBA">
      <w:r>
        <w:t>Designación Inicial: Se designa como primer REPRESENTANTE LEGAL de la sociedad a:</w:t>
      </w:r>
    </w:p>
    <w:p w14:paraId="5EF85C69">
      <w:pPr>
        <w:ind w:left="576"/>
      </w:pPr>
      <w:r>
        <w:rPr>
          <w:b/>
          <w:color w:val="1E3A8A"/>
        </w:rPr>
        <w:t>• Cargo: Representante Legal Titular</w:t>
      </w:r>
      <w:r>
        <w:rPr>
          <w:b/>
          <w:color w:val="1E3A8A"/>
        </w:rPr>
        <w:br w:type="textWrapping"/>
      </w:r>
      <w:r>
        <w:rPr>
          <w:b/>
          <w:color w:val="1E3A8A"/>
        </w:rPr>
        <w:t>• Nombre: RONNY GARCIA GALLEGO</w:t>
      </w:r>
      <w:r>
        <w:rPr>
          <w:b/>
          <w:color w:val="1E3A8A"/>
        </w:rPr>
        <w:br w:type="textWrapping"/>
      </w:r>
      <w:r>
        <w:rPr>
          <w:b/>
          <w:color w:val="1E3A8A"/>
        </w:rPr>
        <w:t>• Cédula de Ciudadanía: 1.116.248.661 expedida en Tuluá</w:t>
      </w:r>
      <w:r>
        <w:rPr>
          <w:b/>
          <w:color w:val="1E3A8A"/>
        </w:rPr>
        <w:br w:type="textWrapping"/>
      </w:r>
      <w:r>
        <w:rPr>
          <w:b/>
          <w:color w:val="1E3A8A"/>
        </w:rPr>
        <w:t>• Período: Indefinido</w:t>
      </w:r>
    </w:p>
    <w:p w14:paraId="2EBBB6F2">
      <w:pPr>
        <w:spacing w:before="280" w:after="80"/>
      </w:pPr>
      <w:r>
        <w:rPr>
          <w:b/>
          <w:color w:val="1E3A8A"/>
          <w:sz w:val="23"/>
        </w:rPr>
        <w:t>ARTÍCULO 11º –</w:t>
      </w:r>
      <w:r>
        <w:rPr>
          <w:b/>
          <w:color w:val="0F172A"/>
          <w:sz w:val="23"/>
        </w:rPr>
        <w:t xml:space="preserve"> FACULTADES DEL REPRESENTANTE LEGAL:</w:t>
      </w:r>
    </w:p>
    <w:p w14:paraId="144521C7">
      <w:r>
        <w:t>El Representante Legal estará investido de las más amplias facultades para administrar, celebrar contratos, abrir y manejar cuentas bancarias, contratar personal, suscribir pasarelas de pago, apoderar abogados y representar a la sociedad judicial y extrajudicialmente sin limitación alguna por cuantía.</w:t>
      </w:r>
    </w:p>
    <w:p w14:paraId="0E1B9F9A">
      <w:pPr>
        <w:spacing w:before="240"/>
      </w:pPr>
    </w:p>
    <w:p w14:paraId="4CBB49CF">
      <w:r>
        <w:rPr>
          <w:b/>
        </w:rPr>
        <w:t>CAPÍTULO IV – ESTADOS FINANCIEROS Y DISOLUCIÓN</w:t>
      </w:r>
    </w:p>
    <w:p w14:paraId="1DB5A5FB">
      <w:pPr>
        <w:spacing w:before="280" w:after="80"/>
      </w:pPr>
      <w:r>
        <w:rPr>
          <w:b/>
          <w:color w:val="1E3A8A"/>
          <w:sz w:val="23"/>
        </w:rPr>
        <w:t>ARTÍCULO 12º –</w:t>
      </w:r>
      <w:r>
        <w:rPr>
          <w:b/>
          <w:color w:val="0F172A"/>
          <w:sz w:val="23"/>
        </w:rPr>
        <w:t xml:space="preserve"> EJERCICIO SOCIAL Y ESTADOS FINANCIEROS:</w:t>
      </w:r>
    </w:p>
    <w:p w14:paraId="1837A306">
      <w:r>
        <w:t>El ejercicio social se cortará el 31 de diciembre de cada año. Al final de cada ejercicio, el Representante Legal elaborará los estados financieros de propósito general y el informe de gestión para sometimiento del accionista.</w:t>
      </w:r>
    </w:p>
    <w:p w14:paraId="6C019AA5">
      <w:pPr>
        <w:spacing w:before="280" w:after="80"/>
      </w:pPr>
      <w:r>
        <w:rPr>
          <w:b/>
          <w:color w:val="1E3A8A"/>
          <w:sz w:val="23"/>
        </w:rPr>
        <w:t>ARTÍCULO 13º –</w:t>
      </w:r>
      <w:r>
        <w:rPr>
          <w:b/>
          <w:color w:val="0F172A"/>
          <w:sz w:val="23"/>
        </w:rPr>
        <w:t xml:space="preserve"> DISOLUCIÓN Y LIQUIDACIÓN:</w:t>
      </w:r>
    </w:p>
    <w:p w14:paraId="50EE1FA9">
      <w:r>
        <w:t>La sociedad se disolverá por las causales legales previstas en el Artículo 34 de la Ley 1258 de 2008, procediéndose a su liquidación de conformidad con las normas legales vigentes.</w:t>
      </w:r>
    </w:p>
    <w:p w14:paraId="2DE13E74">
      <w:pPr>
        <w:spacing w:before="320"/>
      </w:pPr>
    </w:p>
    <w:p w14:paraId="78793099">
      <w:r>
        <w:rPr>
          <w:b/>
        </w:rPr>
        <w:t>ACEPTACIÓN DEL CARGO</w:t>
      </w:r>
    </w:p>
    <w:p w14:paraId="06EE9F37">
      <w:r>
        <w:t>El suscrito RONNY GARCIA GALLEGO, identificado con C.C. No. 1.116.248.661 de Tuluá, manifiesta que ACEPTA la designación efectuada como REPRESENTANTE LEGAL de la sociedad CLOUDTICKETS S.A.S., comprometiéndose a desempeñar el cargo con lealtad y rectitud.</w:t>
      </w:r>
    </w:p>
    <w:p w14:paraId="14063993">
      <w:r>
        <w:t>En constancia de lo anterior, se firma el presente documento privado de constitución en dos (2) ejemplares del mismo tenor y valor legal en la ciudad de Tuluá, el día [DÍA] del mes de [MES] del año 2026.</w:t>
      </w:r>
    </w:p>
    <w:p w14:paraId="7280CA4D">
      <w:pPr>
        <w:spacing w:before="480"/>
      </w:pPr>
      <w:r>
        <w:drawing>
          <wp:anchor distT="0" distB="0" distL="114300" distR="114300" simplePos="0" relativeHeight="251659264" behindDoc="1" locked="0" layoutInCell="1" allowOverlap="1">
            <wp:simplePos x="0" y="0"/>
            <wp:positionH relativeFrom="column">
              <wp:posOffset>370840</wp:posOffset>
            </wp:positionH>
            <wp:positionV relativeFrom="paragraph">
              <wp:posOffset>16510</wp:posOffset>
            </wp:positionV>
            <wp:extent cx="1619885" cy="938530"/>
            <wp:effectExtent l="0" t="0" r="18415" b="13970"/>
            <wp:wrapTight wrapText="bothSides">
              <wp:wrapPolygon>
                <wp:start x="0" y="0"/>
                <wp:lineTo x="0" y="21045"/>
                <wp:lineTo x="21338" y="21045"/>
                <wp:lineTo x="2133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1619885" cy="938530"/>
                    </a:xfrm>
                    <a:prstGeom prst="rect">
                      <a:avLst/>
                    </a:prstGeom>
                    <a:noFill/>
                    <a:ln>
                      <a:noFill/>
                    </a:ln>
                  </pic:spPr>
                </pic:pic>
              </a:graphicData>
            </a:graphic>
          </wp:anchor>
        </w:drawing>
      </w:r>
    </w:p>
    <w:tbl>
      <w:tblPr>
        <w:tblStyle w:val="12"/>
        <w:tblW w:w="0" w:type="auto"/>
        <w:jc w:val="center"/>
        <w:tblLayout w:type="fixed"/>
        <w:tblCellMar>
          <w:top w:w="0" w:type="dxa"/>
          <w:left w:w="108" w:type="dxa"/>
          <w:bottom w:w="0" w:type="dxa"/>
          <w:right w:w="108" w:type="dxa"/>
        </w:tblCellMar>
      </w:tblPr>
      <w:tblGrid>
        <w:gridCol w:w="9360"/>
      </w:tblGrid>
      <w:tr w14:paraId="3BC28DEA">
        <w:tblPrEx>
          <w:tblCellMar>
            <w:top w:w="0" w:type="dxa"/>
            <w:left w:w="108" w:type="dxa"/>
            <w:bottom w:w="0" w:type="dxa"/>
            <w:right w:w="108" w:type="dxa"/>
          </w:tblCellMar>
        </w:tblPrEx>
        <w:trPr>
          <w:jc w:val="center"/>
        </w:trPr>
        <w:tc>
          <w:tcPr>
            <w:tcW w:w="9360" w:type="dxa"/>
            <w:tcBorders>
              <w:top w:val="nil"/>
              <w:left w:val="nil"/>
              <w:bottom w:val="nil"/>
              <w:right w:val="nil"/>
            </w:tcBorders>
          </w:tcPr>
          <w:p w14:paraId="1523F5A1">
            <w:r>
              <w:rPr>
                <w:b/>
              </w:rPr>
              <w:t>_________________________________________</w:t>
            </w:r>
            <w:r>
              <w:rPr>
                <w:b/>
              </w:rPr>
              <w:br w:type="textWrapping"/>
            </w:r>
            <w:r>
              <w:rPr>
                <w:b/>
              </w:rPr>
              <w:t>RONNY GARCIA GALLEGO</w:t>
            </w:r>
            <w:r>
              <w:rPr>
                <w:b/>
              </w:rPr>
              <w:br w:type="textWrapping"/>
            </w:r>
            <w:r>
              <w:t>C.C. No. 1.116.248.661 de Tuluá</w:t>
            </w:r>
            <w:r>
              <w:br w:type="textWrapping"/>
            </w:r>
            <w:r>
              <w:t>Accionista Constituyente &amp; Representante Legal</w:t>
            </w:r>
            <w:r>
              <w:br w:type="textWrapping"/>
            </w:r>
            <w:r>
              <w:t>CLOUDTICKETS S.A.S.</w:t>
            </w:r>
          </w:p>
        </w:tc>
      </w:tr>
    </w:tbl>
    <w:p w14:paraId="62086F6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6562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7272A"/>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CNS.16</cp:lastModifiedBy>
  <cp:lastPrinted>2026-09-12T13:23:51Z</cp:lastPrinted>
  <dcterms:modified xsi:type="dcterms:W3CDTF">2026-09-12T13:27:08Z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3082-12.2.0.19805</vt:lpwstr>
  </property>
  <property fmtid="{D5CDD505-2E9C-101B-9397-08002B2CF9AE}" pid="3" name="ICV">
    <vt:lpwstr>6FE7FDBF700A44B983075425455497D9_12</vt:lpwstr>
  </property>
</Properties>
</file>