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0B4F47"/>
          <w:sz w:val="72"/>
          <w:szCs w:val="72"/>
        </w:rPr>
        <w:t xml:space="preserve">CarePulse</w:t>
      </w:r>
    </w:p>
    <w:p>
      <w:pPr>
        <w:spacing w:after="100" w:before="200"/>
        <w:jc w:val="center"/>
      </w:pPr>
      <w:r>
        <w:rPr>
          <w:rFonts w:ascii="Calibri" w:cs="Calibri" w:eastAsia="Calibri" w:hAnsi="Calibri"/>
          <w:color w:val="0E6E63"/>
          <w:sz w:val="28"/>
          <w:szCs w:val="28"/>
        </w:rPr>
        <w:t xml:space="preserve">Plateforme d'intelligence clinique pour l'accompagnement du diabète</w:t>
      </w:r>
    </w:p>
    <w:p>
      <w:pPr>
        <w:spacing w:before="600"/>
        <w:jc w:val="center"/>
      </w:pPr>
      <w:r>
        <w:rPr>
          <w:rFonts w:ascii="Calibri" w:cs="Calibri" w:eastAsia="Calibri" w:hAnsi="Calibri"/>
          <w:b/>
          <w:bCs/>
          <w:color w:val="5B6470"/>
          <w:sz w:val="24"/>
          <w:szCs w:val="24"/>
        </w:rPr>
        <w:t xml:space="preserve">DOSSIER DE PRÉSENTATION DU PROJET</w:t>
      </w:r>
    </w:p>
    <w:p>
      <w:pPr>
        <w:spacing w:after="600"/>
        <w:jc w:val="center"/>
      </w:pPr>
      <w:r>
        <w:rPr>
          <w:rFonts w:ascii="Calibri" w:cs="Calibri" w:eastAsia="Calibri" w:hAnsi="Calibri"/>
          <w:color w:val="5B6470"/>
          <w:sz w:val="24"/>
          <w:szCs w:val="24"/>
        </w:rPr>
        <w:t xml:space="preserve">&amp; Documentation Technique</w:t>
      </w:r>
    </w:p>
    <w:p>
      <w:pPr>
        <w:spacing w:before="1600"/>
        <w:jc w:val="center"/>
      </w:pPr>
      <w:r>
        <w:rPr>
          <w:rFonts w:ascii="Calibri" w:cs="Calibri" w:eastAsia="Calibri" w:hAnsi="Calibri"/>
          <w:i/>
          <w:iCs/>
          <w:color w:val="5B6470"/>
          <w:sz w:val="20"/>
          <w:szCs w:val="20"/>
        </w:rPr>
        <w:t xml:space="preserve">Version 2 — Dossier consolidé après la Phase 3</w:t>
      </w:r>
    </w:p>
    <w:p>
      <w:pPr>
        <w:jc w:val="center"/>
      </w:pPr>
      <w:r>
        <w:rPr>
          <w:rFonts w:ascii="Calibri" w:cs="Calibri" w:eastAsia="Calibri" w:hAnsi="Calibri"/>
          <w:color w:val="5B6470"/>
          <w:sz w:val="20"/>
          <w:szCs w:val="20"/>
        </w:rPr>
        <w:t xml:space="preserve">Juillet 2026</w:t>
      </w:r>
    </w:p>
    <w:p>
      <w:r>
        <w:br w:type="page"/>
      </w:r>
    </w:p>
    <w:p>
      <w:pPr>
        <w:pStyle w:val="Heading1"/>
        <w:pBdr>
          <w:bottom w:val="single" w:color="0E6E63" w:sz="8" w:space="4"/>
        </w:pBdr>
        <w:spacing w:after="240" w:before="480"/>
      </w:pPr>
      <w:r>
        <w:rPr>
          <w:rFonts w:ascii="Calibri" w:cs="Calibri" w:eastAsia="Calibri" w:hAnsi="Calibri"/>
          <w:b/>
          <w:bCs/>
          <w:color w:val="0B4F47"/>
          <w:sz w:val="32"/>
          <w:szCs w:val="32"/>
        </w:rPr>
        <w:t xml:space="preserve">Table des matières</w:t>
      </w:r>
    </w:p>
    <w:p>
      <w:pPr>
        <w:pBdr>
          <w:left w:val="single" w:color="0E6E63" w:sz="18" w:space="8"/>
        </w:pBdr>
        <w:shd w:fill="EAF4F2" w:val="clear"/>
        <w:spacing w:after="200" w:before="120"/>
      </w:pPr>
      <w:r>
        <w:rPr>
          <w:rFonts w:ascii="Calibri" w:cs="Calibri" w:eastAsia="Calibri" w:hAnsi="Calibri"/>
          <w:i/>
          <w:iCs/>
          <w:color w:val="0B4F47"/>
          <w:sz w:val="20"/>
          <w:szCs w:val="20"/>
        </w:rPr>
        <w:t xml:space="preserve">Astuce Word : clic droit sur la table ci-dessous puis « Mettre à jour les champs » pour afficher les numéros de page une fois le document ouvert dans Word.</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shd w:fill="0B4F47" w:val="clear"/>
        <w:spacing w:after="400"/>
        <w:jc w:val="center"/>
      </w:pPr>
      <w:r>
        <w:rPr>
          <w:rFonts w:ascii="Calibri" w:cs="Calibri" w:eastAsia="Calibri" w:hAnsi="Calibri"/>
          <w:b/>
          <w:bCs/>
          <w:color w:val="FFFFFF"/>
          <w:sz w:val="20"/>
          <w:szCs w:val="20"/>
        </w:rPr>
        <w:t xml:space="preserve">PARTIE 1</w:t>
      </w:r>
    </w:p>
    <w:p>
      <w:pPr>
        <w:pStyle w:val="Heading1"/>
        <w:pBdr>
          <w:bottom w:val="single" w:color="0E6E63" w:sz="8" w:space="4"/>
        </w:pBdr>
        <w:spacing w:after="240" w:before="480"/>
      </w:pPr>
      <w:r>
        <w:rPr>
          <w:rFonts w:ascii="Calibri" w:cs="Calibri" w:eastAsia="Calibri" w:hAnsi="Calibri"/>
          <w:b/>
          <w:bCs/>
          <w:color w:val="0B4F47"/>
          <w:sz w:val="32"/>
          <w:szCs w:val="32"/>
        </w:rPr>
        <w:t xml:space="preserve">Présentation du projet</w:t>
      </w:r>
    </w:p>
    <w:p>
      <w:pPr>
        <w:pStyle w:val="Heading2"/>
        <w:spacing w:after="160" w:before="360"/>
      </w:pPr>
      <w:r>
        <w:rPr>
          <w:rFonts w:ascii="Calibri" w:cs="Calibri" w:eastAsia="Calibri" w:hAnsi="Calibri"/>
          <w:b/>
          <w:bCs/>
          <w:color w:val="0E6E63"/>
          <w:sz w:val="26"/>
          <w:szCs w:val="26"/>
        </w:rPr>
        <w:t xml:space="preserve">1. Résumé exécutif</w:t>
      </w:r>
    </w:p>
    <w:p>
      <w:pPr>
        <w:spacing w:after="160" w:line="276"/>
        <w:jc w:val="both"/>
      </w:pPr>
      <w:r>
        <w:rPr>
          <w:rFonts w:ascii="Calibri" w:cs="Calibri" w:eastAsia="Calibri" w:hAnsi="Calibri"/>
          <w:b w:val="false"/>
          <w:bCs w:val="false"/>
          <w:i w:val="false"/>
          <w:iCs w:val="false"/>
          <w:sz w:val="21"/>
          <w:szCs w:val="21"/>
        </w:rPr>
        <w:t xml:space="preserve">CarePulse est une plateforme d'intelligence clinique dédiée au diabète, conçue pour relier en continu le patient et le clinicien autour d'un même socle de données médicales. Elle se distingue des applications de suivi glycémique classiques par une architecture à double intelligence artificielle strictement séparée : un agent d'analyse clinique réservé au corps médical, et un agent d'accompagnement dédié au patient.</w:t>
      </w:r>
    </w:p>
    <w:p>
      <w:pPr>
        <w:spacing w:after="160" w:line="276"/>
        <w:jc w:val="both"/>
      </w:pPr>
      <w:r>
        <w:rPr>
          <w:rFonts w:ascii="Calibri" w:cs="Calibri" w:eastAsia="Calibri" w:hAnsi="Calibri"/>
          <w:b w:val="false"/>
          <w:bCs w:val="false"/>
          <w:i w:val="false"/>
          <w:iCs w:val="false"/>
          <w:sz w:val="21"/>
          <w:szCs w:val="21"/>
        </w:rPr>
        <w:t xml:space="preserve">Entre les deux, un moteur clinique déterministe calcule les indicateurs médicaux (temps dans la cible, variabilité glycémique, détection des hypo/hyperglycémies, scores de risque) avant toute interprétation par un modèle de langage. Ce choix garantit que l'IA générative ne parle jamais "dans le vide" : elle s'appuie systématiquement sur des données vérifiables, ce qui est un point clé pour la confiance clinique et pour une future validation réglementaire.</w:t>
      </w:r>
    </w:p>
    <w:p>
      <w:pPr>
        <w:spacing w:after="160" w:line="276"/>
        <w:jc w:val="both"/>
      </w:pPr>
      <w:r>
        <w:rPr>
          <w:rFonts w:ascii="Calibri" w:cs="Calibri" w:eastAsia="Calibri" w:hAnsi="Calibri"/>
          <w:b w:val="false"/>
          <w:bCs w:val="false"/>
          <w:i w:val="false"/>
          <w:iCs w:val="false"/>
          <w:sz w:val="21"/>
          <w:szCs w:val="21"/>
        </w:rPr>
        <w:t xml:space="preserve">La plateforme couvre les deux extrémités du parcours de soin du diabète : le dépistage précoce des patients non diagnostiqués, via un modèle de machine learning entraîné sur des données cliniques de routine, et le suivi des patients déjà diagnostiqués, via un modèle de prédiction du risque de réadmission hospitalière à 30 jours.</w:t>
      </w:r>
    </w:p>
    <w:p>
      <w:pPr>
        <w:pStyle w:val="Heading2"/>
        <w:spacing w:after="160" w:before="360"/>
      </w:pPr>
      <w:r>
        <w:rPr>
          <w:rFonts w:ascii="Calibri" w:cs="Calibri" w:eastAsia="Calibri" w:hAnsi="Calibri"/>
          <w:b/>
          <w:bCs/>
          <w:color w:val="0E6E63"/>
          <w:sz w:val="26"/>
          <w:szCs w:val="26"/>
        </w:rPr>
        <w:t xml:space="preserve">2. Contexte et problème</w:t>
      </w:r>
    </w:p>
    <w:p>
      <w:pPr>
        <w:spacing w:after="160" w:line="276"/>
        <w:jc w:val="both"/>
      </w:pPr>
      <w:r>
        <w:rPr>
          <w:rFonts w:ascii="Calibri" w:cs="Calibri" w:eastAsia="Calibri" w:hAnsi="Calibri"/>
          <w:b w:val="false"/>
          <w:bCs w:val="false"/>
          <w:i w:val="false"/>
          <w:iCs w:val="false"/>
          <w:sz w:val="21"/>
          <w:szCs w:val="21"/>
        </w:rPr>
        <w:t xml:space="preserve">Le diabète est aujourd'hui l'une des maladies chroniques les plus répandues au monde, et son poids continue de croître :</w:t>
      </w:r>
    </w:p>
    <w:p>
      <w:pPr>
        <w:pStyle w:val="ListParagraph"/>
        <w:numPr>
          <w:ilvl w:val="0"/>
          <w:numId w:val="2"/>
        </w:numPr>
        <w:spacing w:after="80"/>
      </w:pPr>
      <w:r>
        <w:rPr>
          <w:rFonts w:ascii="Calibri" w:cs="Calibri" w:eastAsia="Calibri" w:hAnsi="Calibri"/>
          <w:sz w:val="21"/>
          <w:szCs w:val="21"/>
        </w:rPr>
        <w:t xml:space="preserve">589 millions d'adultes (20-79 ans) vivaient avec le diabète dans le monde en 2024, soit environ 1 adulte sur 9 (IDF Diabetes Atlas, 11e édition).</w:t>
      </w:r>
    </w:p>
    <w:p>
      <w:pPr>
        <w:pStyle w:val="ListParagraph"/>
        <w:numPr>
          <w:ilvl w:val="0"/>
          <w:numId w:val="2"/>
        </w:numPr>
        <w:spacing w:after="80"/>
      </w:pPr>
      <w:r>
        <w:rPr>
          <w:rFonts w:ascii="Calibri" w:cs="Calibri" w:eastAsia="Calibri" w:hAnsi="Calibri"/>
          <w:sz w:val="21"/>
          <w:szCs w:val="21"/>
        </w:rPr>
        <w:t xml:space="preserve">Près de 252 millions de personnes, soit 43 % des diabétiques, ignorent qu'elles sont atteintes — elles sont diagnostiquées tardivement, souvent après l'apparition de complications.</w:t>
      </w:r>
    </w:p>
    <w:p>
      <w:pPr>
        <w:pStyle w:val="ListParagraph"/>
        <w:numPr>
          <w:ilvl w:val="0"/>
          <w:numId w:val="2"/>
        </w:numPr>
        <w:spacing w:after="80"/>
      </w:pPr>
      <w:r>
        <w:rPr>
          <w:rFonts w:ascii="Calibri" w:cs="Calibri" w:eastAsia="Calibri" w:hAnsi="Calibri"/>
          <w:sz w:val="21"/>
          <w:szCs w:val="21"/>
        </w:rPr>
        <w:t xml:space="preserve">Les dépenses de santé liées au diabète ont dépassé 1 000 milliards de dollars en 2024 dans le monde, en hausse de 338 % en 17 ans.</w:t>
      </w:r>
    </w:p>
    <w:p>
      <w:pPr>
        <w:pStyle w:val="ListParagraph"/>
        <w:numPr>
          <w:ilvl w:val="0"/>
          <w:numId w:val="2"/>
        </w:numPr>
        <w:spacing w:after="80"/>
      </w:pPr>
      <w:r>
        <w:rPr>
          <w:rFonts w:ascii="Calibri" w:cs="Calibri" w:eastAsia="Calibri" w:hAnsi="Calibri"/>
          <w:sz w:val="21"/>
          <w:szCs w:val="21"/>
        </w:rPr>
        <w:t xml:space="preserve">La projection pour 2050 est d'environ 853 millions de personnes touchées, soit 1 adulte sur 8.</w:t>
      </w:r>
    </w:p>
    <w:p>
      <w:pPr>
        <w:pStyle w:val="ListParagraph"/>
        <w:numPr>
          <w:ilvl w:val="0"/>
          <w:numId w:val="2"/>
        </w:numPr>
        <w:spacing w:after="80"/>
      </w:pPr>
      <w:r>
        <w:rPr>
          <w:rFonts w:ascii="Calibri" w:cs="Calibri" w:eastAsia="Calibri" w:hAnsi="Calibri"/>
          <w:sz w:val="21"/>
          <w:szCs w:val="21"/>
        </w:rPr>
        <w:t xml:space="preserve">Les réadmissions hospitalières à 30 jours chez les patients diabétiques restent un problème majeur de santé publique et un sujet de recherche actif en machine learning, notamment autour du jeu de données de référence UCI Diabetes 130-US Hospitals (plus de 100 000 séjours hospitaliers).</w:t>
      </w:r>
    </w:p>
    <w:p>
      <w:pPr>
        <w:spacing w:after="160" w:line="276"/>
        <w:jc w:val="both"/>
      </w:pPr>
      <w:r>
        <w:rPr>
          <w:rFonts w:ascii="Calibri" w:cs="Calibri" w:eastAsia="Calibri" w:hAnsi="Calibri"/>
          <w:b w:val="false"/>
          <w:bCs w:val="false"/>
          <w:i w:val="false"/>
          <w:iCs w:val="false"/>
          <w:sz w:val="21"/>
          <w:szCs w:val="21"/>
        </w:rPr>
        <w:t xml:space="preserve">Sur le terrain, trois manques reviennent constamment : le patient est livré à lui-même entre deux consultations ; le clinicien manque de temps pour analyser en profondeur des semaines de données glycémiques ; et les outils existants se contentent souvent d'afficher des courbes de glycémie sans les interpréter ni les prioriser.</w:t>
      </w:r>
    </w:p>
    <w:p>
      <w:pPr>
        <w:pStyle w:val="Heading2"/>
        <w:spacing w:after="160" w:before="360"/>
      </w:pPr>
      <w:r>
        <w:rPr>
          <w:rFonts w:ascii="Calibri" w:cs="Calibri" w:eastAsia="Calibri" w:hAnsi="Calibri"/>
          <w:b/>
          <w:bCs/>
          <w:color w:val="0E6E63"/>
          <w:sz w:val="26"/>
          <w:szCs w:val="26"/>
        </w:rPr>
        <w:t xml:space="preserve">3. Notre solution</w:t>
      </w:r>
    </w:p>
    <w:p>
      <w:pPr>
        <w:spacing w:after="160" w:line="276"/>
        <w:jc w:val="both"/>
      </w:pPr>
      <w:r>
        <w:rPr>
          <w:rFonts w:ascii="Calibri" w:cs="Calibri" w:eastAsia="Calibri" w:hAnsi="Calibri"/>
          <w:b w:val="false"/>
          <w:bCs w:val="false"/>
          <w:i w:val="false"/>
          <w:iCs w:val="false"/>
          <w:sz w:val="21"/>
          <w:szCs w:val="21"/>
        </w:rPr>
        <w:t xml:space="preserve">CarePulse répond à ce triple problème — sous-diagnostic, absence d'accompagnement quotidien, charge d'analyse clinique — par une plateforme structurée autour de cinq piliers :</w:t>
      </w:r>
    </w:p>
    <w:p>
      <w:pPr>
        <w:pStyle w:val="ListParagraph"/>
        <w:numPr>
          <w:ilvl w:val="0"/>
          <w:numId w:val="2"/>
        </w:numPr>
        <w:spacing w:after="80"/>
      </w:pPr>
      <w:r>
        <w:rPr>
          <w:rFonts w:ascii="Calibri" w:cs="Calibri" w:eastAsia="Calibri" w:hAnsi="Calibri"/>
          <w:sz w:val="21"/>
          <w:szCs w:val="21"/>
        </w:rPr>
        <w:t xml:space="preserve">Une saisie quotidienne simple côté patient : glycémie, repas, activité physique, symptômes, médicaments, humeur et observations libres.</w:t>
      </w:r>
    </w:p>
    <w:p>
      <w:pPr>
        <w:pStyle w:val="ListParagraph"/>
        <w:numPr>
          <w:ilvl w:val="0"/>
          <w:numId w:val="2"/>
        </w:numPr>
        <w:spacing w:after="80"/>
      </w:pPr>
      <w:r>
        <w:rPr>
          <w:rFonts w:ascii="Calibri" w:cs="Calibri" w:eastAsia="Calibri" w:hAnsi="Calibri"/>
          <w:sz w:val="21"/>
          <w:szCs w:val="21"/>
        </w:rPr>
        <w:t xml:space="preserve">Un moteur clinique déterministe qui transforme ces données brutes en indicateurs médicaux fiables et reproductibles.</w:t>
      </w:r>
    </w:p>
    <w:p>
      <w:pPr>
        <w:pStyle w:val="ListParagraph"/>
        <w:numPr>
          <w:ilvl w:val="0"/>
          <w:numId w:val="2"/>
        </w:numPr>
        <w:spacing w:after="80"/>
      </w:pPr>
      <w:r>
        <w:rPr>
          <w:rFonts w:ascii="Calibri" w:cs="Calibri" w:eastAsia="Calibri" w:hAnsi="Calibri"/>
          <w:sz w:val="21"/>
          <w:szCs w:val="21"/>
        </w:rPr>
        <w:t xml:space="preserve">Deux agents IA spécialisés et strictement séparés, chacun avec une mission unique (voir section 5).</w:t>
      </w:r>
    </w:p>
    <w:p>
      <w:pPr>
        <w:pStyle w:val="ListParagraph"/>
        <w:numPr>
          <w:ilvl w:val="0"/>
          <w:numId w:val="2"/>
        </w:numPr>
        <w:spacing w:after="80"/>
      </w:pPr>
      <w:r>
        <w:rPr>
          <w:rFonts w:ascii="Calibri" w:cs="Calibri" w:eastAsia="Calibri" w:hAnsi="Calibri"/>
          <w:sz w:val="21"/>
          <w:szCs w:val="21"/>
        </w:rPr>
        <w:t xml:space="preserve">Un dashboard clinicien centralisant les scores de risque, l'historique, les rapports IA et les alertes.</w:t>
      </w:r>
    </w:p>
    <w:p>
      <w:pPr>
        <w:pStyle w:val="ListParagraph"/>
        <w:numPr>
          <w:ilvl w:val="0"/>
          <w:numId w:val="2"/>
        </w:numPr>
        <w:spacing w:after="80"/>
      </w:pPr>
      <w:r>
        <w:rPr>
          <w:rFonts w:ascii="Calibri" w:cs="Calibri" w:eastAsia="Calibri" w:hAnsi="Calibri"/>
          <w:sz w:val="21"/>
          <w:szCs w:val="21"/>
        </w:rPr>
        <w:t xml:space="preserve">Deux modèles de machine learning complémentaires : dépistage précoce du diabète et prédiction de réadmission hospitalière à 30 jours.</w:t>
      </w:r>
    </w:p>
    <w:p>
      <w:pPr>
        <w:pStyle w:val="Heading2"/>
        <w:spacing w:after="160" w:before="360"/>
      </w:pPr>
      <w:r>
        <w:rPr>
          <w:rFonts w:ascii="Calibri" w:cs="Calibri" w:eastAsia="Calibri" w:hAnsi="Calibri"/>
          <w:b/>
          <w:bCs/>
          <w:color w:val="0E6E63"/>
          <w:sz w:val="26"/>
          <w:szCs w:val="26"/>
        </w:rPr>
        <w:t xml:space="preserve">4. Fonctionnement de la plateforme (workflow global)</w:t>
      </w:r>
    </w:p>
    <w:p>
      <w:pPr>
        <w:spacing w:after="160" w:line="276"/>
        <w:jc w:val="both"/>
      </w:pPr>
      <w:r>
        <w:rPr>
          <w:rFonts w:ascii="Calibri" w:cs="Calibri" w:eastAsia="Calibri" w:hAnsi="Calibri"/>
          <w:b w:val="false"/>
          <w:bCs w:val="false"/>
          <w:i w:val="false"/>
          <w:iCs w:val="false"/>
          <w:sz w:val="21"/>
          <w:szCs w:val="21"/>
        </w:rPr>
        <w:t xml:space="preserve">Le workflow ci-dessous constitue la colonne vertébrale unique de la plateforme : il sert de référence commune au backend, au frontend, à la base de données et aux agents IA.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300"/>
      </w:tblGrid>
      <w:tr>
        <w:trPr>
          <w:tblHeader/>
        </w:trPr>
        <w:tc>
          <w:tcPr>
            <w:tcW w:type="dxa" w:w="700"/>
            <w:shd w:fill="0B4F4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Étape</w:t>
            </w:r>
          </w:p>
        </w:tc>
        <w:tc>
          <w:tcPr>
            <w:tcW w:type="dxa" w:w="3200"/>
            <w:shd w:fill="0B4F4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Composant</w:t>
            </w:r>
          </w:p>
        </w:tc>
        <w:tc>
          <w:tcPr>
            <w:tcW w:type="dxa" w:w="5300"/>
            <w:shd w:fill="0B4F4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Rôle</w:t>
            </w:r>
          </w:p>
        </w:tc>
      </w:tr>
      <w:tr>
        <w:tc>
          <w:tcPr>
            <w:tcW w:type="dxa" w:w="7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1</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Patient Web</w:t>
            </w:r>
          </w:p>
        </w:tc>
        <w:tc>
          <w:tcPr>
            <w:tcW w:type="dxa" w:w="53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Saisie quotidienne : glycémie, repas, activité physique, symptômes, médicaments, humeur, observations.</w:t>
            </w:r>
          </w:p>
        </w:tc>
      </w:tr>
      <w:tr>
        <w:tc>
          <w:tcPr>
            <w:tcW w:type="dxa" w:w="7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2</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Validation &amp; nettoyage</w:t>
            </w:r>
          </w:p>
        </w:tc>
        <w:tc>
          <w:tcPr>
            <w:tcW w:type="dxa" w:w="53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NestJS (validation) + Prisma (persistance) garantissent l'intégrité des données saisies.</w:t>
            </w:r>
          </w:p>
        </w:tc>
      </w:tr>
      <w:tr>
        <w:tc>
          <w:tcPr>
            <w:tcW w:type="dxa" w:w="7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3</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PostgreSQL</w:t>
            </w:r>
          </w:p>
        </w:tc>
        <w:tc>
          <w:tcPr>
            <w:tcW w:type="dxa" w:w="53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Stockage de l'historique patient (données médicales) et du contexte patient (profil + historique IA).</w:t>
            </w:r>
          </w:p>
        </w:tc>
      </w:tr>
      <w:tr>
        <w:tc>
          <w:tcPr>
            <w:tcW w:type="dxa" w:w="7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4</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Clinical Timeline Engine (Python)</w:t>
            </w:r>
          </w:p>
        </w:tc>
        <w:tc>
          <w:tcPr>
            <w:tcW w:type="dxa" w:w="53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Construit la timeline clinique, calcule le Time in Range, la moyenne et la variabilité glycémique, détecte les hypo/hyperglycémies, corrèle repas / activité / stress avec la glycémie.</w:t>
            </w:r>
          </w:p>
        </w:tc>
      </w:tr>
      <w:tr>
        <w:tc>
          <w:tcPr>
            <w:tcW w:type="dxa" w:w="7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5</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Risk Assessment Engine</w:t>
            </w:r>
          </w:p>
        </w:tc>
        <w:tc>
          <w:tcPr>
            <w:tcW w:type="dxa" w:w="53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Calcule les scores d'hyperglycémie, d'hypoglycémie, d'adhérence, de style de vie et le risque clinique global.</w:t>
            </w:r>
          </w:p>
        </w:tc>
      </w:tr>
      <w:tr>
        <w:tc>
          <w:tcPr>
            <w:tcW w:type="dxa" w:w="7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6</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AI Clinical Analysis Agent (LLM)</w:t>
            </w:r>
          </w:p>
        </w:tc>
        <w:tc>
          <w:tcPr>
            <w:tcW w:type="dxa" w:w="53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Interprète uniquement les résultats du moteur clinique : patterns, tendances, causes probables, explications médicales, niveau de confiance.</w:t>
            </w:r>
          </w:p>
        </w:tc>
      </w:tr>
      <w:tr>
        <w:tc>
          <w:tcPr>
            <w:tcW w:type="dxa" w:w="7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7</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AI Care Coordinator Agent</w:t>
            </w:r>
          </w:p>
        </w:tc>
        <w:tc>
          <w:tcPr>
            <w:tcW w:type="dxa" w:w="53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Génère automatiquement la synthèse clinique, le rapport, les priorités médicales et les recommandations.</w:t>
            </w:r>
          </w:p>
        </w:tc>
      </w:tr>
      <w:tr>
        <w:tc>
          <w:tcPr>
            <w:tcW w:type="dxa" w:w="7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8</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Alert Engine / AI Chat Assistant</w:t>
            </w:r>
          </w:p>
        </w:tc>
        <w:tc>
          <w:tcPr>
            <w:tcW w:type="dxa" w:w="53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Diffuse les alertes temps réel au clinicien et répond au patient — sans jamais reproduire une analyse clinique.</w:t>
            </w:r>
          </w:p>
        </w:tc>
      </w:tr>
      <w:tr>
        <w:tc>
          <w:tcPr>
            <w:tcW w:type="dxa" w:w="7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9</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Dashboard Clinicien</w:t>
            </w:r>
          </w:p>
        </w:tc>
        <w:tc>
          <w:tcPr>
            <w:tcW w:type="dxa" w:w="53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Vue globale du patient : scores de risque, historique, rapports IA, alertes, recommandations.</w:t>
            </w:r>
          </w:p>
        </w:tc>
      </w:tr>
    </w:tbl>
    <w:p>
      <w:pPr>
        <w:pStyle w:val="Heading2"/>
        <w:spacing w:after="160" w:before="360"/>
      </w:pPr>
      <w:r>
        <w:rPr>
          <w:rFonts w:ascii="Calibri" w:cs="Calibri" w:eastAsia="Calibri" w:hAnsi="Calibri"/>
          <w:b/>
          <w:bCs/>
          <w:color w:val="0E6E63"/>
          <w:sz w:val="26"/>
          <w:szCs w:val="26"/>
        </w:rPr>
        <w:t xml:space="preserve">5. Les deux agents IA</w:t>
      </w:r>
    </w:p>
    <w:p>
      <w:pPr>
        <w:spacing w:after="160" w:line="276"/>
        <w:jc w:val="both"/>
      </w:pPr>
      <w:r>
        <w:rPr>
          <w:rFonts w:ascii="Calibri" w:cs="Calibri" w:eastAsia="Calibri" w:hAnsi="Calibri"/>
          <w:b w:val="false"/>
          <w:bCs w:val="false"/>
          <w:i w:val="false"/>
          <w:iCs w:val="false"/>
          <w:sz w:val="21"/>
          <w:szCs w:val="21"/>
        </w:rPr>
        <w:t xml:space="preserve">La séparation stricte des rôles entre les deux agents est le principe architectural central de CarePulse : chaque agent a une mission unique et ne déborde jamais sur le rôle de l'autre.</w:t>
      </w:r>
    </w:p>
    <w:p>
      <w:pPr>
        <w:pStyle w:val="Heading3"/>
        <w:spacing w:after="120" w:before="240"/>
      </w:pPr>
      <w:r>
        <w:rPr>
          <w:rFonts w:ascii="Calibri" w:cs="Calibri" w:eastAsia="Calibri" w:hAnsi="Calibri"/>
          <w:b/>
          <w:bCs/>
          <w:color w:val="5B6470"/>
          <w:sz w:val="23"/>
          <w:szCs w:val="23"/>
        </w:rPr>
        <w:t xml:space="preserve">5.1 Clinical Intelligence Agent — l'agent du clinicien</w:t>
      </w:r>
    </w:p>
    <w:p>
      <w:pPr>
        <w:spacing w:after="160" w:line="276"/>
        <w:jc w:val="both"/>
      </w:pPr>
      <w:r>
        <w:rPr>
          <w:rFonts w:ascii="Calibri" w:cs="Calibri" w:eastAsia="Calibri" w:hAnsi="Calibri"/>
          <w:b w:val="false"/>
          <w:bCs w:val="false"/>
          <w:i w:val="false"/>
          <w:iCs w:val="false"/>
          <w:sz w:val="21"/>
          <w:szCs w:val="21"/>
        </w:rPr>
        <w:t xml:space="preserve">Mission : transformer les données médicales calculées par le moteur clinique en intelligence médicale exploitable par un professionnel de santé. Il ne parle jamais directement au patient.</w:t>
      </w:r>
    </w:p>
    <w:p>
      <w:pPr>
        <w:pStyle w:val="ListParagraph"/>
        <w:numPr>
          <w:ilvl w:val="0"/>
          <w:numId w:val="2"/>
        </w:numPr>
        <w:spacing w:after="80"/>
      </w:pPr>
      <w:r>
        <w:rPr>
          <w:rFonts w:ascii="Calibri" w:cs="Calibri" w:eastAsia="Calibri" w:hAnsi="Calibri"/>
          <w:sz w:val="21"/>
          <w:szCs w:val="21"/>
        </w:rPr>
        <w:t xml:space="preserve">Entrées : Clinical Timeline, scores de risque, historique du patient.</w:t>
      </w:r>
    </w:p>
    <w:p>
      <w:pPr>
        <w:pStyle w:val="ListParagraph"/>
        <w:numPr>
          <w:ilvl w:val="0"/>
          <w:numId w:val="2"/>
        </w:numPr>
        <w:spacing w:after="80"/>
      </w:pPr>
      <w:r>
        <w:rPr>
          <w:rFonts w:ascii="Calibri" w:cs="Calibri" w:eastAsia="Calibri" w:hAnsi="Calibri"/>
          <w:sz w:val="21"/>
          <w:szCs w:val="21"/>
        </w:rPr>
        <w:t xml:space="preserve">Sorties : patterns détectés, corrélations, explications, niveau de confiance, recommandations.</w:t>
      </w:r>
    </w:p>
    <w:p>
      <w:pPr>
        <w:pStyle w:val="Heading3"/>
        <w:spacing w:after="120" w:before="240"/>
      </w:pPr>
      <w:r>
        <w:rPr>
          <w:rFonts w:ascii="Calibri" w:cs="Calibri" w:eastAsia="Calibri" w:hAnsi="Calibri"/>
          <w:b/>
          <w:bCs/>
          <w:color w:val="5B6470"/>
          <w:sz w:val="23"/>
          <w:szCs w:val="23"/>
        </w:rPr>
        <w:t xml:space="preserve">5.2 Care Assistant Agent — l'agent du patient</w:t>
      </w:r>
    </w:p>
    <w:p>
      <w:pPr>
        <w:spacing w:after="160" w:line="276"/>
        <w:jc w:val="both"/>
      </w:pPr>
      <w:r>
        <w:rPr>
          <w:rFonts w:ascii="Calibri" w:cs="Calibri" w:eastAsia="Calibri" w:hAnsi="Calibri"/>
          <w:b w:val="false"/>
          <w:bCs w:val="false"/>
          <w:i w:val="false"/>
          <w:iCs w:val="false"/>
          <w:sz w:val="21"/>
          <w:szCs w:val="21"/>
        </w:rPr>
        <w:t xml:space="preserve">Mission : être l'assistant intelligent et quotidien du patient. Il n'invente jamais de nouvelle analyse clinique — il s'appuie exclusivement sur les résultats déjà validés par le Clinical Intelligence Agent.</w:t>
      </w:r>
    </w:p>
    <w:p>
      <w:pPr>
        <w:pStyle w:val="ListParagraph"/>
        <w:numPr>
          <w:ilvl w:val="0"/>
          <w:numId w:val="2"/>
        </w:numPr>
        <w:spacing w:after="80"/>
      </w:pPr>
      <w:r>
        <w:rPr>
          <w:rFonts w:ascii="Calibri" w:cs="Calibri" w:eastAsia="Calibri" w:hAnsi="Calibri"/>
          <w:sz w:val="21"/>
          <w:szCs w:val="21"/>
        </w:rPr>
        <w:t xml:space="preserve">Entrées : analyses produites par l'Agent 1, rapports cliniques, contexte patient, historique de conversation.</w:t>
      </w:r>
    </w:p>
    <w:p>
      <w:pPr>
        <w:pStyle w:val="ListParagraph"/>
        <w:numPr>
          <w:ilvl w:val="0"/>
          <w:numId w:val="2"/>
        </w:numPr>
        <w:spacing w:after="80"/>
      </w:pPr>
      <w:r>
        <w:rPr>
          <w:rFonts w:ascii="Calibri" w:cs="Calibri" w:eastAsia="Calibri" w:hAnsi="Calibri"/>
          <w:sz w:val="21"/>
          <w:szCs w:val="21"/>
        </w:rPr>
        <w:t xml:space="preserve">Sorties : explications simples, réponses aux questions, rappels de bonnes pratiques, encouragements personnalisés.</w:t>
      </w:r>
    </w:p>
    <w:p>
      <w:pPr>
        <w:pStyle w:val="Heading2"/>
        <w:spacing w:after="160" w:before="360"/>
      </w:pPr>
      <w:r>
        <w:rPr>
          <w:rFonts w:ascii="Calibri" w:cs="Calibri" w:eastAsia="Calibri" w:hAnsi="Calibri"/>
          <w:b/>
          <w:bCs/>
          <w:color w:val="0E6E63"/>
          <w:sz w:val="26"/>
          <w:szCs w:val="26"/>
        </w:rPr>
        <w:t xml:space="preserve">6. Les modèles de Machine Learning</w:t>
      </w:r>
    </w:p>
    <w:p>
      <w:pPr>
        <w:pStyle w:val="Heading3"/>
        <w:spacing w:after="120" w:before="240"/>
      </w:pPr>
      <w:r>
        <w:rPr>
          <w:rFonts w:ascii="Calibri" w:cs="Calibri" w:eastAsia="Calibri" w:hAnsi="Calibri"/>
          <w:b/>
          <w:bCs/>
          <w:color w:val="5B6470"/>
          <w:sz w:val="23"/>
          <w:szCs w:val="23"/>
        </w:rPr>
        <w:t xml:space="preserve">6.1 Modèle de dépistage (screening) du diabète</w:t>
      </w:r>
    </w:p>
    <w:p>
      <w:pPr>
        <w:pStyle w:val="ListParagraph"/>
        <w:numPr>
          <w:ilvl w:val="0"/>
          <w:numId w:val="2"/>
        </w:numPr>
        <w:spacing w:after="80"/>
      </w:pPr>
      <w:r>
        <w:rPr>
          <w:rFonts w:ascii="Calibri" w:cs="Calibri" w:eastAsia="Calibri" w:hAnsi="Calibri"/>
          <w:sz w:val="21"/>
          <w:szCs w:val="21"/>
        </w:rPr>
        <w:t xml:space="preserve">Jeu de données : Pima Indians Diabetes — 768 patients, 8 variables cliniques de routine (glycémie, pression artérielle, IMC, âge, etc.).</w:t>
      </w:r>
    </w:p>
    <w:p>
      <w:pPr>
        <w:pStyle w:val="ListParagraph"/>
        <w:numPr>
          <w:ilvl w:val="0"/>
          <w:numId w:val="2"/>
        </w:numPr>
        <w:spacing w:after="80"/>
      </w:pPr>
      <w:r>
        <w:rPr>
          <w:rFonts w:ascii="Calibri" w:cs="Calibri" w:eastAsia="Calibri" w:hAnsi="Calibri"/>
          <w:sz w:val="21"/>
          <w:szCs w:val="21"/>
        </w:rPr>
        <w:t xml:space="preserve">Algorithmes : Random Forest (300 arbres, profondeur 6) comme modèle principal, comparé à un Decision Tree comme référence de base.</w:t>
      </w:r>
    </w:p>
    <w:p>
      <w:pPr>
        <w:pStyle w:val="ListParagraph"/>
        <w:numPr>
          <w:ilvl w:val="0"/>
          <w:numId w:val="2"/>
        </w:numPr>
        <w:spacing w:after="80"/>
      </w:pPr>
      <w:r>
        <w:rPr>
          <w:rFonts w:ascii="Calibri" w:cs="Calibri" w:eastAsia="Calibri" w:hAnsi="Calibri"/>
          <w:sz w:val="21"/>
          <w:szCs w:val="21"/>
        </w:rPr>
        <w:t xml:space="preserve">Validation croisée à 5 plis pour fiabiliser l'évaluation, le jeu de test brut (154 patients) étant trop petit pour être conclusif seul.</w:t>
      </w:r>
    </w:p>
    <w:p>
      <w:pPr>
        <w:pStyle w:val="ListParagraph"/>
        <w:numPr>
          <w:ilvl w:val="0"/>
          <w:numId w:val="2"/>
        </w:numPr>
        <w:spacing w:after="80"/>
      </w:pPr>
      <w:r>
        <w:rPr>
          <w:rFonts w:ascii="Calibri" w:cs="Calibri" w:eastAsia="Calibri" w:hAnsi="Calibri"/>
          <w:sz w:val="21"/>
          <w:szCs w:val="21"/>
        </w:rPr>
        <w:t xml:space="preserve">Sortie : score de probabilité de diabète (0 à 1) traduit en niveau de risque low / moderate / high / very_high.</w:t>
      </w:r>
    </w:p>
    <w:p>
      <w:pPr>
        <w:pStyle w:val="ListParagraph"/>
        <w:numPr>
          <w:ilvl w:val="0"/>
          <w:numId w:val="2"/>
        </w:numPr>
        <w:spacing w:after="80"/>
      </w:pPr>
      <w:r>
        <w:rPr>
          <w:rFonts w:ascii="Calibri" w:cs="Calibri" w:eastAsia="Calibri" w:hAnsi="Calibri"/>
          <w:sz w:val="21"/>
          <w:szCs w:val="21"/>
        </w:rPr>
        <w:t xml:space="preserve">Cible : la moitié "non diagnostiquée" du problème — le dépistage précoce, avant l'apparition de complications.</w:t>
      </w:r>
    </w:p>
    <w:p>
      <w:pPr>
        <w:pStyle w:val="Heading3"/>
        <w:spacing w:after="120" w:before="240"/>
      </w:pPr>
      <w:r>
        <w:rPr>
          <w:rFonts w:ascii="Calibri" w:cs="Calibri" w:eastAsia="Calibri" w:hAnsi="Calibri"/>
          <w:b/>
          <w:bCs/>
          <w:color w:val="5B6470"/>
          <w:sz w:val="23"/>
          <w:szCs w:val="23"/>
        </w:rPr>
        <w:t xml:space="preserve">6.2 Modèle de prédiction de réadmission hospitalière à 30 jours</w:t>
      </w:r>
    </w:p>
    <w:p>
      <w:pPr>
        <w:pStyle w:val="ListParagraph"/>
        <w:numPr>
          <w:ilvl w:val="0"/>
          <w:numId w:val="2"/>
        </w:numPr>
        <w:spacing w:after="80"/>
      </w:pPr>
      <w:r>
        <w:rPr>
          <w:rFonts w:ascii="Calibri" w:cs="Calibri" w:eastAsia="Calibri" w:hAnsi="Calibri"/>
          <w:sz w:val="21"/>
          <w:szCs w:val="21"/>
        </w:rPr>
        <w:t xml:space="preserve">Jeu de données : UCI Diabetes 130-US Hospitals — plus de 100 000 séjours hospitaliers, une référence largement utilisée dans la littérature scientifique sur la prédiction de réadmission chez les patients diabétiques.</w:t>
      </w:r>
    </w:p>
    <w:p>
      <w:pPr>
        <w:pStyle w:val="ListParagraph"/>
        <w:numPr>
          <w:ilvl w:val="0"/>
          <w:numId w:val="2"/>
        </w:numPr>
        <w:spacing w:after="80"/>
      </w:pPr>
      <w:r>
        <w:rPr>
          <w:rFonts w:ascii="Calibri" w:cs="Calibri" w:eastAsia="Calibri" w:hAnsi="Calibri"/>
          <w:sz w:val="21"/>
          <w:szCs w:val="21"/>
        </w:rPr>
        <w:t xml:space="preserve">Prétraitement : encodage one-hot des variables catégorielles, imputation des valeurs manquantes, conversion des tranches d'âge en valeur numérique médiane.</w:t>
      </w:r>
    </w:p>
    <w:p>
      <w:pPr>
        <w:pStyle w:val="ListParagraph"/>
        <w:numPr>
          <w:ilvl w:val="0"/>
          <w:numId w:val="2"/>
        </w:numPr>
        <w:spacing w:after="80"/>
      </w:pPr>
      <w:r>
        <w:rPr>
          <w:rFonts w:ascii="Calibri" w:cs="Calibri" w:eastAsia="Calibri" w:hAnsi="Calibri"/>
          <w:sz w:val="21"/>
          <w:szCs w:val="21"/>
        </w:rPr>
        <w:t xml:space="preserve">Algorithme : Random Forest à pondération de classes équilibrée (class_weight="balanced"), pour compenser la rareté des réadmissions à 30 jours dans les données.</w:t>
      </w:r>
    </w:p>
    <w:p>
      <w:pPr>
        <w:pStyle w:val="ListParagraph"/>
        <w:numPr>
          <w:ilvl w:val="0"/>
          <w:numId w:val="2"/>
        </w:numPr>
        <w:spacing w:after="80"/>
      </w:pPr>
      <w:r>
        <w:rPr>
          <w:rFonts w:ascii="Calibri" w:cs="Calibri" w:eastAsia="Calibri" w:hAnsi="Calibri"/>
          <w:sz w:val="21"/>
          <w:szCs w:val="21"/>
        </w:rPr>
        <w:t xml:space="preserve">Sortie : probabilité de réadmission à 30 jours + niveau de risque (low / moderate / high / very_high).</w:t>
      </w:r>
    </w:p>
    <w:p>
      <w:pPr>
        <w:pStyle w:val="ListParagraph"/>
        <w:numPr>
          <w:ilvl w:val="0"/>
          <w:numId w:val="2"/>
        </w:numPr>
        <w:spacing w:after="80"/>
      </w:pPr>
      <w:r>
        <w:rPr>
          <w:rFonts w:ascii="Calibri" w:cs="Calibri" w:eastAsia="Calibri" w:hAnsi="Calibri"/>
          <w:sz w:val="21"/>
          <w:szCs w:val="21"/>
        </w:rPr>
        <w:t xml:space="preserve">Cible : les patients diabétiques déjà connus et récemment hospitalisés — la moitié "post-hospitalisation" du problème.</w:t>
      </w:r>
    </w:p>
    <w:p>
      <w:pPr>
        <w:pStyle w:val="Heading3"/>
        <w:spacing w:after="120" w:before="240"/>
      </w:pPr>
      <w:r>
        <w:rPr>
          <w:rFonts w:ascii="Calibri" w:cs="Calibri" w:eastAsia="Calibri" w:hAnsi="Calibri"/>
          <w:b/>
          <w:bCs/>
          <w:color w:val="5B6470"/>
          <w:sz w:val="23"/>
          <w:szCs w:val="23"/>
        </w:rPr>
        <w:t xml:space="preserve">6.3 Exposition via microservice FastAPI</w:t>
      </w:r>
    </w:p>
    <w:p>
      <w:pPr>
        <w:spacing w:after="160" w:line="276"/>
        <w:jc w:val="both"/>
      </w:pPr>
      <w:r>
        <w:rPr>
          <w:rFonts w:ascii="Calibri" w:cs="Calibri" w:eastAsia="Calibri" w:hAnsi="Calibri"/>
          <w:b w:val="false"/>
          <w:bCs w:val="false"/>
          <w:i w:val="false"/>
          <w:iCs w:val="false"/>
          <w:sz w:val="21"/>
          <w:szCs w:val="21"/>
        </w:rPr>
        <w:t xml:space="preserve">Les deux modèles ainsi que le moteur de règles cliniques sont exposés via une API HTTP interne, appelée par le backend NestJS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shd w:fill="0B4F4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Endpoint</w:t>
            </w:r>
          </w:p>
        </w:tc>
        <w:tc>
          <w:tcPr>
            <w:tcW w:type="dxa" w:w="5600"/>
            <w:shd w:fill="0B4F4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Fonction</w:t>
            </w:r>
          </w:p>
        </w:tc>
      </w:tr>
      <w:tr>
        <w:tc>
          <w:tcPr>
            <w:tcW w:type="dxa" w:w="36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POST /predict</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Score de risque diabète pour un patient</w:t>
            </w:r>
          </w:p>
        </w:tc>
      </w:tr>
      <w:tr>
        <w:tc>
          <w:tcPr>
            <w:tcW w:type="dxa" w:w="36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POST /batch-predict</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Score de risque diabète pour plusieurs patients</w:t>
            </w:r>
          </w:p>
        </w:tc>
      </w:tr>
      <w:tr>
        <w:tc>
          <w:tcPr>
            <w:tcW w:type="dxa" w:w="36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POST /readmission/predict</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Score de risque de réadmission à 30 jours</w:t>
            </w:r>
          </w:p>
        </w:tc>
      </w:tr>
      <w:tr>
        <w:tc>
          <w:tcPr>
            <w:tcW w:type="dxa" w:w="36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POST /readmission/batch-predict</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Score de réadmission pour plusieurs patients</w:t>
            </w:r>
          </w:p>
        </w:tc>
      </w:tr>
      <w:tr>
        <w:tc>
          <w:tcPr>
            <w:tcW w:type="dxa" w:w="36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POST /clinical-rules</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Timeline clinique, statistiques, alertes et résumé</w:t>
            </w:r>
          </w:p>
        </w:tc>
      </w:tr>
      <w:tr>
        <w:tc>
          <w:tcPr>
            <w:tcW w:type="dxa" w:w="36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POST /chat</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Passerelle vers le LLM (Mistral) pour la génération de texte</w:t>
            </w:r>
          </w:p>
        </w:tc>
      </w:tr>
      <w:tr>
        <w:tc>
          <w:tcPr>
            <w:tcW w:type="dxa" w:w="36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GET /health</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Vérification de disponibilité des modèles</w:t>
            </w:r>
          </w:p>
        </w:tc>
      </w:tr>
    </w:tbl>
    <w:p>
      <w:pPr>
        <w:pStyle w:val="Heading2"/>
        <w:spacing w:after="160" w:before="360"/>
      </w:pPr>
      <w:r>
        <w:rPr>
          <w:rFonts w:ascii="Calibri" w:cs="Calibri" w:eastAsia="Calibri" w:hAnsi="Calibri"/>
          <w:b/>
          <w:bCs/>
          <w:color w:val="0E6E63"/>
          <w:sz w:val="26"/>
          <w:szCs w:val="26"/>
        </w:rPr>
        <w:t xml:space="preserve">7. Pourquoi cette architecture est solide</w:t>
      </w:r>
    </w:p>
    <w:p>
      <w:pPr>
        <w:pStyle w:val="ListParagraph"/>
        <w:numPr>
          <w:ilvl w:val="0"/>
          <w:numId w:val="2"/>
        </w:numPr>
        <w:spacing w:after="80"/>
      </w:pPr>
      <w:r>
        <w:rPr>
          <w:rFonts w:ascii="Calibri" w:cs="Calibri" w:eastAsia="Calibri" w:hAnsi="Calibri"/>
          <w:sz w:val="21"/>
          <w:szCs w:val="21"/>
        </w:rPr>
        <w:t xml:space="preserve">Principe "One Agent = One Responsibility" : chaque brique (moteur de timeline, scoring, agent clinique, agent patient, dashboard) évolue indépendamment sans remettre en cause l'ensemble.</w:t>
      </w:r>
    </w:p>
    <w:p>
      <w:pPr>
        <w:pStyle w:val="ListParagraph"/>
        <w:numPr>
          <w:ilvl w:val="0"/>
          <w:numId w:val="2"/>
        </w:numPr>
        <w:spacing w:after="80"/>
      </w:pPr>
      <w:r>
        <w:rPr>
          <w:rFonts w:ascii="Calibri" w:cs="Calibri" w:eastAsia="Calibri" w:hAnsi="Calibri"/>
          <w:sz w:val="21"/>
          <w:szCs w:val="21"/>
        </w:rPr>
        <w:t xml:space="preserve">Séparation stricte patient / clinicien : aucune confusion de rôle entre l'accompagnement quotidien et l'analyse médicale, ce qui renforce la confiance et facilite une future conformité réglementaire.</w:t>
      </w:r>
    </w:p>
    <w:p>
      <w:pPr>
        <w:pStyle w:val="ListParagraph"/>
        <w:numPr>
          <w:ilvl w:val="0"/>
          <w:numId w:val="2"/>
        </w:numPr>
        <w:spacing w:after="80"/>
      </w:pPr>
      <w:r>
        <w:rPr>
          <w:rFonts w:ascii="Calibri" w:cs="Calibri" w:eastAsia="Calibri" w:hAnsi="Calibri"/>
          <w:sz w:val="21"/>
          <w:szCs w:val="21"/>
        </w:rPr>
        <w:t xml:space="preserve">IA ancrée sur des données déterministes : les agents LLM interprètent des indicateurs déjà calculés, ils ne génèrent jamais une analyse à partir de rien — ce qui réduit fortement le risque d'hallucination et rend chaque recommandation traçable jusqu'à la donnée source.</w:t>
      </w:r>
    </w:p>
    <w:p>
      <w:pPr>
        <w:pStyle w:val="ListParagraph"/>
        <w:numPr>
          <w:ilvl w:val="0"/>
          <w:numId w:val="2"/>
        </w:numPr>
        <w:spacing w:after="80"/>
      </w:pPr>
      <w:r>
        <w:rPr>
          <w:rFonts w:ascii="Calibri" w:cs="Calibri" w:eastAsia="Calibri" w:hAnsi="Calibri"/>
          <w:sz w:val="21"/>
          <w:szCs w:val="21"/>
        </w:rPr>
        <w:t xml:space="preserve">Couverture du parcours complet : dépistage précoce, suivi quotidien et prévention de la réadmission hospitalière, alors que la plupart des solutions concurrentes ne couvrent qu'un seul de ces trois maillons.</w:t>
      </w:r>
    </w:p>
    <w:p>
      <w:pPr>
        <w:pStyle w:val="ListParagraph"/>
        <w:numPr>
          <w:ilvl w:val="0"/>
          <w:numId w:val="2"/>
        </w:numPr>
        <w:spacing w:after="80"/>
      </w:pPr>
      <w:r>
        <w:rPr>
          <w:rFonts w:ascii="Calibri" w:cs="Calibri" w:eastAsia="Calibri" w:hAnsi="Calibri"/>
          <w:sz w:val="21"/>
          <w:szCs w:val="21"/>
        </w:rPr>
        <w:t xml:space="preserve">Architecture technique découplée : NestJS, moteur Python et LLM communiquent par API, ce qui permet de faire évoluer ou remplacer chaque service indépendamment (scaling, changement de modèle, etc.).</w:t>
      </w:r>
    </w:p>
    <w:p>
      <w:pPr>
        <w:pStyle w:val="ListParagraph"/>
        <w:numPr>
          <w:ilvl w:val="0"/>
          <w:numId w:val="2"/>
        </w:numPr>
        <w:spacing w:after="80"/>
      </w:pPr>
      <w:r>
        <w:rPr>
          <w:rFonts w:ascii="Calibri" w:cs="Calibri" w:eastAsia="Calibri" w:hAnsi="Calibri"/>
          <w:sz w:val="21"/>
          <w:szCs w:val="21"/>
        </w:rPr>
        <w:t xml:space="preserve">Base scientifique vérifiable : les modèles sont entraînés sur des jeux de données publics et reconnus (Pima Indians Diabetes, UCI Diabetes 130-US Hospitals), ce qui permet de comparer nos résultats à une littérature scientifique existante plutôt que de partir d'une boîte noire.</w:t>
      </w:r>
    </w:p>
    <w:p>
      <w:pPr>
        <w:pStyle w:val="Heading2"/>
        <w:spacing w:after="160" w:before="360"/>
      </w:pPr>
      <w:r>
        <w:rPr>
          <w:rFonts w:ascii="Calibri" w:cs="Calibri" w:eastAsia="Calibri" w:hAnsi="Calibri"/>
          <w:b/>
          <w:bCs/>
          <w:color w:val="0E6E63"/>
          <w:sz w:val="26"/>
          <w:szCs w:val="26"/>
        </w:rPr>
        <w:t xml:space="preserve">8. Modèle économique envisagé</w:t>
      </w:r>
    </w:p>
    <w:p>
      <w:pPr>
        <w:spacing w:after="160" w:line="276"/>
        <w:jc w:val="both"/>
      </w:pPr>
      <w:r>
        <w:rPr>
          <w:rFonts w:ascii="Calibri" w:cs="Calibri" w:eastAsia="Calibri" w:hAnsi="Calibri"/>
          <w:b w:val="false"/>
          <w:bCs w:val="false"/>
          <w:i w:val="false"/>
          <w:iCs w:val="false"/>
          <w:sz w:val="21"/>
          <w:szCs w:val="21"/>
        </w:rPr>
        <w:t xml:space="preserve">Cette section présente des pistes de modèle économique à valider plutôt qu'un plan financier arrêté ; elle vise à montrer que l'architecture actuelle est compatible avec plusieurs stratégies de mise sur le marché.</w:t>
      </w:r>
    </w:p>
    <w:p>
      <w:pPr>
        <w:pStyle w:val="ListParagraph"/>
        <w:numPr>
          <w:ilvl w:val="0"/>
          <w:numId w:val="2"/>
        </w:numPr>
        <w:spacing w:after="80"/>
      </w:pPr>
      <w:r>
        <w:rPr>
          <w:rFonts w:ascii="Calibri" w:cs="Calibri" w:eastAsia="Calibri" w:hAnsi="Calibri"/>
          <w:sz w:val="21"/>
          <w:szCs w:val="21"/>
        </w:rPr>
        <w:t xml:space="preserve">B2B2C via des cliniques, hôpitaux ou mutuelles : abonnement SaaS facturé par patient suivi et/ou par poste clinicien.</w:t>
      </w:r>
    </w:p>
    <w:p>
      <w:pPr>
        <w:pStyle w:val="ListParagraph"/>
        <w:numPr>
          <w:ilvl w:val="0"/>
          <w:numId w:val="2"/>
        </w:numPr>
        <w:spacing w:after="80"/>
      </w:pPr>
      <w:r>
        <w:rPr>
          <w:rFonts w:ascii="Calibri" w:cs="Calibri" w:eastAsia="Calibri" w:hAnsi="Calibri"/>
          <w:sz w:val="21"/>
          <w:szCs w:val="21"/>
        </w:rPr>
        <w:t xml:space="preserve">Argument de vente auprès des payeurs de santé : une réduction même modeste du taux de réadmission à 30 jours représente une économie significative à l'échelle d'un établissement, ce qui justifie un investissement dans l'outil.</w:t>
      </w:r>
    </w:p>
    <w:p>
      <w:pPr>
        <w:pStyle w:val="ListParagraph"/>
        <w:numPr>
          <w:ilvl w:val="0"/>
          <w:numId w:val="2"/>
        </w:numPr>
        <w:spacing w:after="80"/>
      </w:pPr>
      <w:r>
        <w:rPr>
          <w:rFonts w:ascii="Calibri" w:cs="Calibri" w:eastAsia="Calibri" w:hAnsi="Calibri"/>
          <w:sz w:val="21"/>
          <w:szCs w:val="21"/>
        </w:rPr>
        <w:t xml:space="preserve">Interopérabilité à terme avec les dossiers patients existants pour faciliter l'adoption par les établissements de santé.</w:t>
      </w:r>
    </w:p>
    <w:p>
      <w:pPr>
        <w:pStyle w:val="Heading2"/>
        <w:spacing w:after="160" w:before="360"/>
      </w:pPr>
      <w:r>
        <w:rPr>
          <w:rFonts w:ascii="Calibri" w:cs="Calibri" w:eastAsia="Calibri" w:hAnsi="Calibri"/>
          <w:b/>
          <w:bCs/>
          <w:color w:val="0E6E63"/>
          <w:sz w:val="26"/>
          <w:szCs w:val="26"/>
        </w:rPr>
        <w:t xml:space="preserve">9. Feuille de route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0B4F4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Phase</w:t>
            </w:r>
          </w:p>
        </w:tc>
        <w:tc>
          <w:tcPr>
            <w:tcW w:type="dxa" w:w="6600"/>
            <w:shd w:fill="0B4F4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Contenu</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Phase 1 (actuelle)</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Dépistage précoce, coaching patient quotidien, dashboard clinicien de base, moteur de règles cliniques.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Phase 2</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Généralisation du modèle de réadmission, enrichissement des alertes temps réel, rapports cliniques automatisés.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Phase 3</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Intégration d'objets connectés (capteurs CGM, montres connectées), corrélations enrichies (sommeil, stress).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Phase 4</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Extension à d'autres maladies chroniques (hypertension, insuffisance cardiaque) et démarche de validation clinique / réglementaire.</w:t>
            </w:r>
          </w:p>
        </w:tc>
      </w:tr>
    </w:tbl>
    <w:p>
      <w:pPr>
        <w:pStyle w:val="Heading2"/>
        <w:spacing w:after="160" w:before="360"/>
      </w:pPr>
      <w:r>
        <w:rPr>
          <w:rFonts w:ascii="Calibri" w:cs="Calibri" w:eastAsia="Calibri" w:hAnsi="Calibri"/>
          <w:b/>
          <w:bCs/>
          <w:color w:val="0E6E63"/>
          <w:sz w:val="26"/>
          <w:szCs w:val="26"/>
        </w:rPr>
        <w:t xml:space="preserve">10. Conclusion</w:t>
      </w:r>
    </w:p>
    <w:p>
      <w:pPr>
        <w:spacing w:after="160" w:line="276"/>
        <w:jc w:val="both"/>
      </w:pPr>
      <w:r>
        <w:rPr>
          <w:rFonts w:ascii="Calibri" w:cs="Calibri" w:eastAsia="Calibri" w:hAnsi="Calibri"/>
          <w:b w:val="false"/>
          <w:bCs w:val="false"/>
          <w:i w:val="false"/>
          <w:iCs w:val="false"/>
          <w:sz w:val="21"/>
          <w:szCs w:val="21"/>
        </w:rPr>
        <w:t xml:space="preserve">CarePulse propose une réponse structurée à un problème de santé publique massif et croissant. La séparation stricte des responsabilités entre moteur clinique déterministe, agent d'analyse médicale et agent d'accompagnement patient constitue une architecture crédible, explicable et évolutive — suffisamment solide pour un contexte de compétition, mais aussi conçue pour grandir vers un produit réel. La documentation technique en Partie 2 détaille l'état actuel de l'implémentation.</w:t>
      </w:r>
    </w:p>
    <w:p>
      <w:r>
        <w:br w:type="page"/>
      </w:r>
    </w:p>
    <w:p>
      <w:pPr>
        <w:shd w:fill="0B4F47" w:val="clear"/>
        <w:spacing w:after="400"/>
        <w:jc w:val="center"/>
      </w:pPr>
      <w:r>
        <w:rPr>
          <w:rFonts w:ascii="Calibri" w:cs="Calibri" w:eastAsia="Calibri" w:hAnsi="Calibri"/>
          <w:b/>
          <w:bCs/>
          <w:color w:val="FFFFFF"/>
          <w:sz w:val="20"/>
          <w:szCs w:val="20"/>
        </w:rPr>
        <w:t xml:space="preserve">PARTIE 2</w:t>
      </w:r>
    </w:p>
    <w:p>
      <w:pPr>
        <w:pStyle w:val="Heading1"/>
        <w:pBdr>
          <w:bottom w:val="single" w:color="0E6E63" w:sz="8" w:space="4"/>
        </w:pBdr>
        <w:spacing w:after="240" w:before="480"/>
      </w:pPr>
      <w:r>
        <w:rPr>
          <w:rFonts w:ascii="Calibri" w:cs="Calibri" w:eastAsia="Calibri" w:hAnsi="Calibri"/>
          <w:b/>
          <w:bCs/>
          <w:color w:val="0B4F47"/>
          <w:sz w:val="32"/>
          <w:szCs w:val="32"/>
        </w:rPr>
        <w:t xml:space="preserve">Documentation technique</w:t>
      </w:r>
    </w:p>
    <w:p>
      <w:pPr>
        <w:pStyle w:val="Heading2"/>
        <w:spacing w:after="160" w:before="360"/>
      </w:pPr>
      <w:r>
        <w:rPr>
          <w:rFonts w:ascii="Calibri" w:cs="Calibri" w:eastAsia="Calibri" w:hAnsi="Calibri"/>
          <w:b/>
          <w:bCs/>
          <w:color w:val="0E6E63"/>
          <w:sz w:val="26"/>
          <w:szCs w:val="26"/>
        </w:rPr>
        <w:t xml:space="preserve">1. Vue d'ensemble</w:t>
      </w:r>
    </w:p>
    <w:p>
      <w:pPr>
        <w:spacing w:after="160" w:line="276"/>
        <w:jc w:val="both"/>
      </w:pPr>
      <w:r>
        <w:rPr>
          <w:rFonts w:ascii="Calibri" w:cs="Calibri" w:eastAsia="Calibri" w:hAnsi="Calibri"/>
          <w:b w:val="false"/>
          <w:bCs w:val="false"/>
          <w:i w:val="false"/>
          <w:iCs w:val="false"/>
          <w:sz w:val="21"/>
          <w:szCs w:val="21"/>
        </w:rPr>
        <w:t xml:space="preserve">CarePulse est une plateforme full-stack organisée en monorepo, combinant dashboards patient/clinicien, pipelines d'ingestion de données et analyse clinique assistée par IA. Le système repose sur trois surfaces d'exécution : une API NestJS pour la logique métier, la persistance, l'authentification et l'orchestration ; une application web Next.js pour les interfaces patient et clinicien ; un microservice Python FastAPI pour la modélisation du risque diabète et réadmission.</w:t>
      </w:r>
    </w:p>
    <w:p>
      <w:pPr>
        <w:pStyle w:val="Heading2"/>
        <w:spacing w:after="160" w:before="360"/>
      </w:pPr>
      <w:r>
        <w:rPr>
          <w:rFonts w:ascii="Calibri" w:cs="Calibri" w:eastAsia="Calibri" w:hAnsi="Calibri"/>
          <w:b/>
          <w:bCs/>
          <w:color w:val="0E6E63"/>
          <w:sz w:val="26"/>
          <w:szCs w:val="26"/>
        </w:rPr>
        <w:t xml:space="preserve">2. Structure du repository</w:t>
      </w:r>
    </w:p>
    <w:p>
      <w:pPr>
        <w:pBdr>
          <w:top w:val="single" w:color="CCCCCC" w:sz="4" w:space="4"/>
          <w:bottom w:val="single" w:color="CCCCCC" w:sz="4" w:space="4"/>
          <w:left w:val="single" w:color="CCCCCC" w:sz="4" w:space="4"/>
          <w:right w:val="single" w:color="CCCCCC" w:sz="4" w:space="4"/>
        </w:pBdr>
        <w:shd w:fill="F4F4F4" w:val="clear"/>
        <w:spacing w:after="200" w:before="120"/>
      </w:pPr>
      <w:r>
        <w:rPr>
          <w:rFonts w:ascii="Consolas" w:cs="Consolas" w:eastAsia="Consolas" w:hAnsi="Consolas"/>
          <w:color w:val="333333"/>
          <w:sz w:val="18"/>
          <w:szCs w:val="18"/>
        </w:rPr>
        <w:t xml:space="preserve">carepulse/</w:t>
      </w:r>
      <w:r>
        <w:br/>
      </w:r>
      <w:r>
        <w:rPr>
          <w:rFonts w:ascii="Consolas" w:cs="Consolas" w:eastAsia="Consolas" w:hAnsi="Consolas"/>
          <w:color w:val="333333"/>
          <w:sz w:val="18"/>
          <w:szCs w:val="18"/>
        </w:rPr>
        <w:t xml:space="preserve">├── apps/</w:t>
      </w:r>
      <w:r>
        <w:br/>
      </w:r>
      <w:r>
        <w:rPr>
          <w:rFonts w:ascii="Consolas" w:cs="Consolas" w:eastAsia="Consolas" w:hAnsi="Consolas"/>
          <w:color w:val="333333"/>
          <w:sz w:val="18"/>
          <w:szCs w:val="18"/>
        </w:rPr>
        <w:t xml:space="preserve">│   ├── api/                # Backend NestJS</w:t>
      </w:r>
      <w:r>
        <w:br/>
      </w:r>
      <w:r>
        <w:rPr>
          <w:rFonts w:ascii="Consolas" w:cs="Consolas" w:eastAsia="Consolas" w:hAnsi="Consolas"/>
          <w:color w:val="333333"/>
          <w:sz w:val="18"/>
          <w:szCs w:val="18"/>
        </w:rPr>
        <w:t xml:space="preserve">│   └── web/                # Frontend Next.js</w:t>
      </w:r>
      <w:r>
        <w:br/>
      </w:r>
      <w:r>
        <w:rPr>
          <w:rFonts w:ascii="Consolas" w:cs="Consolas" w:eastAsia="Consolas" w:hAnsi="Consolas"/>
          <w:color w:val="333333"/>
          <w:sz w:val="18"/>
          <w:szCs w:val="18"/>
        </w:rPr>
        <w:t xml:space="preserve">├── packages/</w:t>
      </w:r>
      <w:r>
        <w:br/>
      </w:r>
      <w:r>
        <w:rPr>
          <w:rFonts w:ascii="Consolas" w:cs="Consolas" w:eastAsia="Consolas" w:hAnsi="Consolas"/>
          <w:color w:val="333333"/>
          <w:sz w:val="18"/>
          <w:szCs w:val="18"/>
        </w:rPr>
        <w:t xml:space="preserve">│   ├── shared-types/       # Interfaces et DTO partagés</w:t>
      </w:r>
      <w:r>
        <w:br/>
      </w:r>
      <w:r>
        <w:rPr>
          <w:rFonts w:ascii="Consolas" w:cs="Consolas" w:eastAsia="Consolas" w:hAnsi="Consolas"/>
          <w:color w:val="333333"/>
          <w:sz w:val="18"/>
          <w:szCs w:val="18"/>
        </w:rPr>
        <w:t xml:space="preserve">│   └── ui/                 # Composants UI réutilisables</w:t>
      </w:r>
      <w:r>
        <w:br/>
      </w:r>
      <w:r>
        <w:rPr>
          <w:rFonts w:ascii="Consolas" w:cs="Consolas" w:eastAsia="Consolas" w:hAnsi="Consolas"/>
          <w:color w:val="333333"/>
          <w:sz w:val="18"/>
          <w:szCs w:val="18"/>
        </w:rPr>
        <w:t xml:space="preserve">├── agent/                  # Microservice Python de scoring</w:t>
      </w:r>
      <w:r>
        <w:br/>
      </w:r>
      <w:r>
        <w:rPr>
          <w:rFonts w:ascii="Consolas" w:cs="Consolas" w:eastAsia="Consolas" w:hAnsi="Consolas"/>
          <w:color w:val="333333"/>
          <w:sz w:val="18"/>
          <w:szCs w:val="18"/>
        </w:rPr>
        <w:t xml:space="preserve">├── docker-compose.yml      # Orchestration des conteneurs locaux</w:t>
      </w:r>
      <w:r>
        <w:br/>
      </w:r>
      <w:r>
        <w:rPr>
          <w:rFonts w:ascii="Consolas" w:cs="Consolas" w:eastAsia="Consolas" w:hAnsi="Consolas"/>
          <w:color w:val="333333"/>
          <w:sz w:val="18"/>
          <w:szCs w:val="18"/>
        </w:rPr>
        <w:t xml:space="preserve">├── package.json            # Scripts du workspace racine</w:t>
      </w:r>
      <w:r>
        <w:br/>
      </w:r>
      <w:r>
        <w:rPr>
          <w:rFonts w:ascii="Consolas" w:cs="Consolas" w:eastAsia="Consolas" w:hAnsi="Consolas"/>
          <w:color w:val="333333"/>
          <w:sz w:val="18"/>
          <w:szCs w:val="18"/>
        </w:rPr>
        <w:t xml:space="preserve">└── turbo.json              # Configuration des pipelines TurboRepo</w:t>
      </w:r>
    </w:p>
    <w:p>
      <w:pPr>
        <w:pStyle w:val="Heading2"/>
        <w:spacing w:after="160" w:before="360"/>
      </w:pPr>
      <w:r>
        <w:rPr>
          <w:rFonts w:ascii="Calibri" w:cs="Calibri" w:eastAsia="Calibri" w:hAnsi="Calibri"/>
          <w:b/>
          <w:bCs/>
          <w:color w:val="0E6E63"/>
          <w:sz w:val="26"/>
          <w:szCs w:val="26"/>
        </w:rPr>
        <w:t xml:space="preserve">3. Stack technique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0B4F4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Domaine</w:t>
            </w:r>
          </w:p>
        </w:tc>
        <w:tc>
          <w:tcPr>
            <w:tcW w:type="dxa" w:w="6800"/>
            <w:shd w:fill="0B4F4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Technologies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Frontend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Next.js 14 (App Router), React 18, TypeScript, Tailwind CSS, TanStack React Query, Recharts, Socket.IO client</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Backend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NestJS 10, TypeScript, Prisma ORM, PostgreSQL, Redis (BullMQ), JWT, class-validator / class-transformer</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IA / ML</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Python 3, FastAPI, scikit-learn (Random Forest), intégration optionnelle Mistral AI</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DevOps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Docker Compose, TurboRepo, npm workspaces</w:t>
            </w:r>
          </w:p>
        </w:tc>
      </w:tr>
    </w:tbl>
    <w:p>
      <w:pPr>
        <w:pStyle w:val="Heading2"/>
        <w:spacing w:after="160" w:before="360"/>
      </w:pPr>
      <w:r>
        <w:rPr>
          <w:rFonts w:ascii="Calibri" w:cs="Calibri" w:eastAsia="Calibri" w:hAnsi="Calibri"/>
          <w:b/>
          <w:bCs/>
          <w:color w:val="0E6E63"/>
          <w:sz w:val="26"/>
          <w:szCs w:val="26"/>
        </w:rPr>
        <w:t xml:space="preserve">4. Architecture globale</w:t>
      </w:r>
    </w:p>
    <w:p>
      <w:pPr>
        <w:spacing w:after="160" w:line="276"/>
        <w:jc w:val="both"/>
      </w:pPr>
      <w:r>
        <w:rPr>
          <w:rFonts w:ascii="Calibri" w:cs="Calibri" w:eastAsia="Calibri" w:hAnsi="Calibri"/>
          <w:b w:val="false"/>
          <w:bCs w:val="false"/>
          <w:i w:val="false"/>
          <w:iCs w:val="false"/>
          <w:sz w:val="21"/>
          <w:szCs w:val="21"/>
        </w:rPr>
        <w:t xml:space="preserve">La plateforme suit une architecture en couches :</w:t>
      </w:r>
    </w:p>
    <w:p>
      <w:pPr>
        <w:pStyle w:val="ListParagraph"/>
        <w:numPr>
          <w:ilvl w:val="0"/>
          <w:numId w:val="2"/>
        </w:numPr>
        <w:spacing w:after="80"/>
      </w:pPr>
      <w:r>
        <w:rPr>
          <w:rFonts w:ascii="Calibri" w:cs="Calibri" w:eastAsia="Calibri" w:hAnsi="Calibri"/>
          <w:sz w:val="21"/>
          <w:szCs w:val="21"/>
        </w:rPr>
        <w:t xml:space="preserve">Les requêtes du client web transitent par le frontend Next.js.</w:t>
      </w:r>
    </w:p>
    <w:p>
      <w:pPr>
        <w:pStyle w:val="ListParagraph"/>
        <w:numPr>
          <w:ilvl w:val="0"/>
          <w:numId w:val="2"/>
        </w:numPr>
        <w:spacing w:after="80"/>
      </w:pPr>
      <w:r>
        <w:rPr>
          <w:rFonts w:ascii="Calibri" w:cs="Calibri" w:eastAsia="Calibri" w:hAnsi="Calibri"/>
          <w:sz w:val="21"/>
          <w:szCs w:val="21"/>
        </w:rPr>
        <w:t xml:space="preserve">L'API NestJS gère l'authentification, la persistance, l'orchestration et les contrats d'API.</w:t>
      </w:r>
    </w:p>
    <w:p>
      <w:pPr>
        <w:pStyle w:val="ListParagraph"/>
        <w:numPr>
          <w:ilvl w:val="0"/>
          <w:numId w:val="2"/>
        </w:numPr>
        <w:spacing w:after="80"/>
      </w:pPr>
      <w:r>
        <w:rPr>
          <w:rFonts w:ascii="Calibri" w:cs="Calibri" w:eastAsia="Calibri" w:hAnsi="Calibri"/>
          <w:sz w:val="21"/>
          <w:szCs w:val="21"/>
        </w:rPr>
        <w:t xml:space="preserve">Prisma persiste les données applicatives dans PostgreSQL.</w:t>
      </w:r>
    </w:p>
    <w:p>
      <w:pPr>
        <w:pStyle w:val="ListParagraph"/>
        <w:numPr>
          <w:ilvl w:val="0"/>
          <w:numId w:val="2"/>
        </w:numPr>
        <w:spacing w:after="80"/>
      </w:pPr>
      <w:r>
        <w:rPr>
          <w:rFonts w:ascii="Calibri" w:cs="Calibri" w:eastAsia="Calibri" w:hAnsi="Calibri"/>
          <w:sz w:val="21"/>
          <w:szCs w:val="21"/>
        </w:rPr>
        <w:t xml:space="preserve">Le service Python de scoring effectue les prédictions et l'inférence par règles.</w:t>
      </w:r>
    </w:p>
    <w:p>
      <w:pPr>
        <w:pStyle w:val="ListParagraph"/>
        <w:numPr>
          <w:ilvl w:val="0"/>
          <w:numId w:val="2"/>
        </w:numPr>
        <w:spacing w:after="80"/>
      </w:pPr>
      <w:r>
        <w:rPr>
          <w:rFonts w:ascii="Calibri" w:cs="Calibri" w:eastAsia="Calibri" w:hAnsi="Calibri"/>
          <w:sz w:val="21"/>
          <w:szCs w:val="21"/>
        </w:rPr>
        <w:t xml:space="preserve">La logique d'orchestration IA combine l'état du "jumeau numérique" du patient et les sorties des modèles pour produire analyses, rapports et alertes.</w:t>
      </w:r>
    </w:p>
    <w:p>
      <w:pPr>
        <w:pBdr>
          <w:top w:val="single" w:color="CCCCCC" w:sz="4" w:space="4"/>
          <w:bottom w:val="single" w:color="CCCCCC" w:sz="4" w:space="4"/>
          <w:left w:val="single" w:color="CCCCCC" w:sz="4" w:space="4"/>
          <w:right w:val="single" w:color="CCCCCC" w:sz="4" w:space="4"/>
        </w:pBdr>
        <w:shd w:fill="F4F4F4" w:val="clear"/>
        <w:spacing w:after="200" w:before="120"/>
      </w:pPr>
      <w:r>
        <w:rPr>
          <w:rFonts w:ascii="Consolas" w:cs="Consolas" w:eastAsia="Consolas" w:hAnsi="Consolas"/>
          <w:color w:val="333333"/>
          <w:sz w:val="18"/>
          <w:szCs w:val="18"/>
        </w:rPr>
        <w:t xml:space="preserve">Patient / Clinicien UI → Next.js Web App → NestJS API</w:t>
      </w:r>
      <w:r>
        <w:br/>
      </w:r>
      <w:r>
        <w:rPr>
          <w:rFonts w:ascii="Consolas" w:cs="Consolas" w:eastAsia="Consolas" w:hAnsi="Consolas"/>
          <w:color w:val="333333"/>
          <w:sz w:val="18"/>
          <w:szCs w:val="18"/>
        </w:rPr>
        <w:t xml:space="preserve">NestJS API → PostgreSQL</w:t>
      </w:r>
      <w:r>
        <w:br/>
      </w:r>
      <w:r>
        <w:rPr>
          <w:rFonts w:ascii="Consolas" w:cs="Consolas" w:eastAsia="Consolas" w:hAnsi="Consolas"/>
          <w:color w:val="333333"/>
          <w:sz w:val="18"/>
          <w:szCs w:val="18"/>
        </w:rPr>
        <w:t xml:space="preserve">NestJS API → Redis / Queue</w:t>
      </w:r>
      <w:r>
        <w:br/>
      </w:r>
      <w:r>
        <w:rPr>
          <w:rFonts w:ascii="Consolas" w:cs="Consolas" w:eastAsia="Consolas" w:hAnsi="Consolas"/>
          <w:color w:val="333333"/>
          <w:sz w:val="18"/>
          <w:szCs w:val="18"/>
        </w:rPr>
        <w:t xml:space="preserve">NestJS API → Python Risk Model → NestJS API</w:t>
      </w:r>
      <w:r>
        <w:br/>
      </w:r>
      <w:r>
        <w:rPr>
          <w:rFonts w:ascii="Consolas" w:cs="Consolas" w:eastAsia="Consolas" w:hAnsi="Consolas"/>
          <w:color w:val="333333"/>
          <w:sz w:val="18"/>
          <w:szCs w:val="18"/>
        </w:rPr>
        <w:t xml:space="preserve">NestJS API → Mistral AI / LLM → NestJS API</w:t>
      </w:r>
    </w:p>
    <w:p>
      <w:pPr>
        <w:pStyle w:val="Heading2"/>
        <w:spacing w:after="160" w:before="360"/>
      </w:pPr>
      <w:r>
        <w:rPr>
          <w:rFonts w:ascii="Calibri" w:cs="Calibri" w:eastAsia="Calibri" w:hAnsi="Calibri"/>
          <w:b/>
          <w:bCs/>
          <w:color w:val="0E6E63"/>
          <w:sz w:val="26"/>
          <w:szCs w:val="26"/>
        </w:rPr>
        <w:t xml:space="preserve">5. Conception Backend</w:t>
      </w:r>
    </w:p>
    <w:p>
      <w:pPr>
        <w:pStyle w:val="Heading3"/>
        <w:spacing w:after="120" w:before="240"/>
      </w:pPr>
      <w:r>
        <w:rPr>
          <w:rFonts w:ascii="Calibri" w:cs="Calibri" w:eastAsia="Calibri" w:hAnsi="Calibri"/>
          <w:b/>
          <w:bCs/>
          <w:color w:val="5B6470"/>
          <w:sz w:val="23"/>
          <w:szCs w:val="23"/>
        </w:rPr>
        <w:t xml:space="preserve">5.1 Serveur API</w:t>
      </w:r>
    </w:p>
    <w:p>
      <w:pPr>
        <w:spacing w:after="160" w:line="276"/>
        <w:jc w:val="both"/>
      </w:pPr>
      <w:r>
        <w:rPr>
          <w:rFonts w:ascii="Calibri" w:cs="Calibri" w:eastAsia="Calibri" w:hAnsi="Calibri"/>
          <w:b w:val="false"/>
          <w:bCs w:val="false"/>
          <w:i w:val="false"/>
          <w:iCs w:val="false"/>
          <w:sz w:val="21"/>
          <w:szCs w:val="21"/>
        </w:rPr>
        <w:t xml:space="preserve">Le serveur API est initialisé dans apps/api/src/main.ts et enregistré via apps/api/src/app.module.ts. Il expose un préfixe global /api et active CORS, les pipes de validation globaux et le filtrage des exceptions.</w:t>
      </w:r>
    </w:p>
    <w:p>
      <w:pPr>
        <w:pStyle w:val="Heading3"/>
        <w:spacing w:after="120" w:before="240"/>
      </w:pPr>
      <w:r>
        <w:rPr>
          <w:rFonts w:ascii="Calibri" w:cs="Calibri" w:eastAsia="Calibri" w:hAnsi="Calibri"/>
          <w:b/>
          <w:bCs/>
          <w:color w:val="5B6470"/>
          <w:sz w:val="23"/>
          <w:szCs w:val="23"/>
        </w:rPr>
        <w:t xml:space="preserve">5.2 Modules principaux</w:t>
      </w:r>
    </w:p>
    <w:p>
      <w:pPr>
        <w:pStyle w:val="ListParagraph"/>
        <w:numPr>
          <w:ilvl w:val="0"/>
          <w:numId w:val="2"/>
        </w:numPr>
        <w:spacing w:after="80"/>
      </w:pPr>
      <w:r>
        <w:rPr>
          <w:rFonts w:ascii="Calibri" w:cs="Calibri" w:eastAsia="Calibri" w:hAnsi="Calibri"/>
          <w:sz w:val="21"/>
          <w:szCs w:val="21"/>
        </w:rPr>
        <w:t xml:space="preserve">Auth : authentification et gestion des sessions.</w:t>
      </w:r>
    </w:p>
    <w:p>
      <w:pPr>
        <w:pStyle w:val="ListParagraph"/>
        <w:numPr>
          <w:ilvl w:val="0"/>
          <w:numId w:val="2"/>
        </w:numPr>
        <w:spacing w:after="80"/>
      </w:pPr>
      <w:r>
        <w:rPr>
          <w:rFonts w:ascii="Calibri" w:cs="Calibri" w:eastAsia="Calibri" w:hAnsi="Calibri"/>
          <w:sz w:val="21"/>
          <w:szCs w:val="21"/>
        </w:rPr>
        <w:t xml:space="preserve">Patient et Clinicien : gestion des profils et identités.</w:t>
      </w:r>
    </w:p>
    <w:p>
      <w:pPr>
        <w:pStyle w:val="ListParagraph"/>
        <w:numPr>
          <w:ilvl w:val="0"/>
          <w:numId w:val="2"/>
        </w:numPr>
        <w:spacing w:after="80"/>
      </w:pPr>
      <w:r>
        <w:rPr>
          <w:rFonts w:ascii="Calibri" w:cs="Calibri" w:eastAsia="Calibri" w:hAnsi="Calibri"/>
          <w:sz w:val="21"/>
          <w:szCs w:val="21"/>
        </w:rPr>
        <w:t xml:space="preserve">Ingestion : lectures glycémiques, événements, résultats de laboratoire, médicaments.</w:t>
      </w:r>
    </w:p>
    <w:p>
      <w:pPr>
        <w:pStyle w:val="ListParagraph"/>
        <w:numPr>
          <w:ilvl w:val="0"/>
          <w:numId w:val="2"/>
        </w:numPr>
        <w:spacing w:after="80"/>
      </w:pPr>
      <w:r>
        <w:rPr>
          <w:rFonts w:ascii="Calibri" w:cs="Calibri" w:eastAsia="Calibri" w:hAnsi="Calibri"/>
          <w:sz w:val="21"/>
          <w:szCs w:val="21"/>
        </w:rPr>
        <w:t xml:space="preserve">Twin : construit l'état spécifique au patient, détecte les lacunes de données et calcule des snapshots.</w:t>
      </w:r>
    </w:p>
    <w:p>
      <w:pPr>
        <w:pStyle w:val="ListParagraph"/>
        <w:numPr>
          <w:ilvl w:val="0"/>
          <w:numId w:val="2"/>
        </w:numPr>
        <w:spacing w:after="80"/>
      </w:pPr>
      <w:r>
        <w:rPr>
          <w:rFonts w:ascii="Calibri" w:cs="Calibri" w:eastAsia="Calibri" w:hAnsi="Calibri"/>
          <w:sz w:val="21"/>
          <w:szCs w:val="21"/>
        </w:rPr>
        <w:t xml:space="preserve">Analyse clinique : stocke les analyses générées par IA.</w:t>
      </w:r>
    </w:p>
    <w:p>
      <w:pPr>
        <w:pStyle w:val="ListParagraph"/>
        <w:numPr>
          <w:ilvl w:val="0"/>
          <w:numId w:val="2"/>
        </w:numPr>
        <w:spacing w:after="80"/>
      </w:pPr>
      <w:r>
        <w:rPr>
          <w:rFonts w:ascii="Calibri" w:cs="Calibri" w:eastAsia="Calibri" w:hAnsi="Calibri"/>
          <w:sz w:val="21"/>
          <w:szCs w:val="21"/>
        </w:rPr>
        <w:t xml:space="preserve">Rapport clinique : stocke les synthèses structurées destinées au clinicien.</w:t>
      </w:r>
    </w:p>
    <w:p>
      <w:pPr>
        <w:pStyle w:val="ListParagraph"/>
        <w:numPr>
          <w:ilvl w:val="0"/>
          <w:numId w:val="2"/>
        </w:numPr>
        <w:spacing w:after="80"/>
      </w:pPr>
      <w:r>
        <w:rPr>
          <w:rFonts w:ascii="Calibri" w:cs="Calibri" w:eastAsia="Calibri" w:hAnsi="Calibri"/>
          <w:sz w:val="21"/>
          <w:szCs w:val="21"/>
        </w:rPr>
        <w:t xml:space="preserve">Alertes : émet les alertes cliniques et opérationnelles.</w:t>
      </w:r>
    </w:p>
    <w:p>
      <w:pPr>
        <w:pStyle w:val="ListParagraph"/>
        <w:numPr>
          <w:ilvl w:val="0"/>
          <w:numId w:val="2"/>
        </w:numPr>
        <w:spacing w:after="80"/>
      </w:pPr>
      <w:r>
        <w:rPr>
          <w:rFonts w:ascii="Calibri" w:cs="Calibri" w:eastAsia="Calibri" w:hAnsi="Calibri"/>
          <w:sz w:val="21"/>
          <w:szCs w:val="21"/>
        </w:rPr>
        <w:t xml:space="preserve">Chat : gère les échanges conversationnels.</w:t>
      </w:r>
    </w:p>
    <w:p>
      <w:pPr>
        <w:pStyle w:val="ListParagraph"/>
        <w:numPr>
          <w:ilvl w:val="0"/>
          <w:numId w:val="2"/>
        </w:numPr>
        <w:spacing w:after="80"/>
      </w:pPr>
      <w:r>
        <w:rPr>
          <w:rFonts w:ascii="Calibri" w:cs="Calibri" w:eastAsia="Calibri" w:hAnsi="Calibri"/>
          <w:sz w:val="21"/>
          <w:szCs w:val="21"/>
        </w:rPr>
        <w:t xml:space="preserve">Task tracker / files d'attente : suivi des opérations longues en arrière-plan.</w:t>
      </w:r>
    </w:p>
    <w:p>
      <w:pPr>
        <w:pStyle w:val="Heading3"/>
        <w:spacing w:after="120" w:before="240"/>
      </w:pPr>
      <w:r>
        <w:rPr>
          <w:rFonts w:ascii="Calibri" w:cs="Calibri" w:eastAsia="Calibri" w:hAnsi="Calibri"/>
          <w:b/>
          <w:bCs/>
          <w:color w:val="5B6470"/>
          <w:sz w:val="23"/>
          <w:szCs w:val="23"/>
        </w:rPr>
        <w:t xml:space="preserve">5.3 Modèle de données (extraits Prisma)</w:t>
      </w:r>
    </w:p>
    <w:p>
      <w:pPr>
        <w:pStyle w:val="ListParagraph"/>
        <w:numPr>
          <w:ilvl w:val="0"/>
          <w:numId w:val="2"/>
        </w:numPr>
        <w:spacing w:after="80"/>
      </w:pPr>
      <w:r>
        <w:rPr>
          <w:rFonts w:ascii="Calibri" w:cs="Calibri" w:eastAsia="Calibri" w:hAnsi="Calibri"/>
          <w:sz w:val="21"/>
          <w:szCs w:val="21"/>
        </w:rPr>
        <w:t xml:space="preserve">Entités Patient et Clinicien.</w:t>
      </w:r>
    </w:p>
    <w:p>
      <w:pPr>
        <w:pStyle w:val="ListParagraph"/>
        <w:numPr>
          <w:ilvl w:val="0"/>
          <w:numId w:val="2"/>
        </w:numPr>
        <w:spacing w:after="80"/>
      </w:pPr>
      <w:r>
        <w:rPr>
          <w:rFonts w:ascii="Calibri" w:cs="Calibri" w:eastAsia="Calibri" w:hAnsi="Calibri"/>
          <w:sz w:val="21"/>
          <w:szCs w:val="21"/>
        </w:rPr>
        <w:t xml:space="preserve">GlucoseReading et LifeEvent pour les séries temporelles.</w:t>
      </w:r>
    </w:p>
    <w:p>
      <w:pPr>
        <w:pStyle w:val="ListParagraph"/>
        <w:numPr>
          <w:ilvl w:val="0"/>
          <w:numId w:val="2"/>
        </w:numPr>
        <w:spacing w:after="80"/>
      </w:pPr>
      <w:r>
        <w:rPr>
          <w:rFonts w:ascii="Calibri" w:cs="Calibri" w:eastAsia="Calibri" w:hAnsi="Calibri"/>
          <w:sz w:val="21"/>
          <w:szCs w:val="21"/>
        </w:rPr>
        <w:t xml:space="preserve">LabResult et Medication pour le contexte clinique.</w:t>
      </w:r>
    </w:p>
    <w:p>
      <w:pPr>
        <w:pStyle w:val="ListParagraph"/>
        <w:numPr>
          <w:ilvl w:val="0"/>
          <w:numId w:val="2"/>
        </w:numPr>
        <w:spacing w:after="80"/>
      </w:pPr>
      <w:r>
        <w:rPr>
          <w:rFonts w:ascii="Calibri" w:cs="Calibri" w:eastAsia="Calibri" w:hAnsi="Calibri"/>
          <w:sz w:val="21"/>
          <w:szCs w:val="21"/>
        </w:rPr>
        <w:t xml:space="preserve">ClinicalAnalysis pour les sorties générées par IA.</w:t>
      </w:r>
    </w:p>
    <w:p>
      <w:pPr>
        <w:pStyle w:val="ListParagraph"/>
        <w:numPr>
          <w:ilvl w:val="0"/>
          <w:numId w:val="2"/>
        </w:numPr>
        <w:spacing w:after="80"/>
      </w:pPr>
      <w:r>
        <w:rPr>
          <w:rFonts w:ascii="Calibri" w:cs="Calibri" w:eastAsia="Calibri" w:hAnsi="Calibri"/>
          <w:sz w:val="21"/>
          <w:szCs w:val="21"/>
        </w:rPr>
        <w:t xml:space="preserve">RiskAssessment pour les snapshots de scores de risque.</w:t>
      </w:r>
    </w:p>
    <w:p>
      <w:pPr>
        <w:pStyle w:val="ListParagraph"/>
        <w:numPr>
          <w:ilvl w:val="0"/>
          <w:numId w:val="2"/>
        </w:numPr>
        <w:spacing w:after="80"/>
      </w:pPr>
      <w:r>
        <w:rPr>
          <w:rFonts w:ascii="Calibri" w:cs="Calibri" w:eastAsia="Calibri" w:hAnsi="Calibri"/>
          <w:sz w:val="21"/>
          <w:szCs w:val="21"/>
        </w:rPr>
        <w:t xml:space="preserve">ClinicalReport pour les synthèses cliniciennes.</w:t>
      </w:r>
    </w:p>
    <w:p>
      <w:pPr>
        <w:pStyle w:val="ListParagraph"/>
        <w:numPr>
          <w:ilvl w:val="0"/>
          <w:numId w:val="2"/>
        </w:numPr>
        <w:spacing w:after="80"/>
      </w:pPr>
      <w:r>
        <w:rPr>
          <w:rFonts w:ascii="Calibri" w:cs="Calibri" w:eastAsia="Calibri" w:hAnsi="Calibri"/>
          <w:sz w:val="21"/>
          <w:szCs w:val="21"/>
        </w:rPr>
        <w:t xml:space="preserve">Alert et TaskTracker pour les notifications et le suivi de workflow.</w:t>
      </w:r>
    </w:p>
    <w:p>
      <w:pPr>
        <w:pStyle w:val="Heading2"/>
        <w:spacing w:after="160" w:before="360"/>
      </w:pPr>
      <w:r>
        <w:rPr>
          <w:rFonts w:ascii="Calibri" w:cs="Calibri" w:eastAsia="Calibri" w:hAnsi="Calibri"/>
          <w:b/>
          <w:bCs/>
          <w:color w:val="0E6E63"/>
          <w:sz w:val="26"/>
          <w:szCs w:val="26"/>
        </w:rPr>
        <w:t xml:space="preserve">6. Conception Frontend</w:t>
      </w:r>
    </w:p>
    <w:p>
      <w:pPr>
        <w:spacing w:after="160" w:line="276"/>
        <w:jc w:val="both"/>
      </w:pPr>
      <w:r>
        <w:rPr>
          <w:rFonts w:ascii="Calibri" w:cs="Calibri" w:eastAsia="Calibri" w:hAnsi="Calibri"/>
          <w:b w:val="false"/>
          <w:bCs w:val="false"/>
          <w:i w:val="false"/>
          <w:iCs w:val="false"/>
          <w:sz w:val="21"/>
          <w:szCs w:val="21"/>
        </w:rPr>
        <w:t xml:space="preserve">L'application web est un portail client construit avec le App Router de Next.js, sous apps/web/src/app.</w:t>
      </w:r>
    </w:p>
    <w:p>
      <w:pPr>
        <w:pStyle w:val="Heading3"/>
        <w:spacing w:after="120" w:before="240"/>
      </w:pPr>
      <w:r>
        <w:rPr>
          <w:rFonts w:ascii="Calibri" w:cs="Calibri" w:eastAsia="Calibri" w:hAnsi="Calibri"/>
          <w:b/>
          <w:bCs/>
          <w:color w:val="5B6470"/>
          <w:sz w:val="23"/>
          <w:szCs w:val="23"/>
        </w:rPr>
        <w:t xml:space="preserve">6.1 Responsabilités du frontend</w:t>
      </w:r>
    </w:p>
    <w:p>
      <w:pPr>
        <w:pStyle w:val="ListParagraph"/>
        <w:numPr>
          <w:ilvl w:val="0"/>
          <w:numId w:val="2"/>
        </w:numPr>
        <w:spacing w:after="80"/>
      </w:pPr>
      <w:r>
        <w:rPr>
          <w:rFonts w:ascii="Calibri" w:cs="Calibri" w:eastAsia="Calibri" w:hAnsi="Calibri"/>
          <w:sz w:val="21"/>
          <w:szCs w:val="21"/>
        </w:rPr>
        <w:t xml:space="preserve">Dashboard patient : tendances glycémiques, analyses, statut de risque, analyses récentes.</w:t>
      </w:r>
    </w:p>
    <w:p>
      <w:pPr>
        <w:pStyle w:val="ListParagraph"/>
        <w:numPr>
          <w:ilvl w:val="0"/>
          <w:numId w:val="2"/>
        </w:numPr>
        <w:spacing w:after="80"/>
      </w:pPr>
      <w:r>
        <w:rPr>
          <w:rFonts w:ascii="Calibri" w:cs="Calibri" w:eastAsia="Calibri" w:hAnsi="Calibri"/>
          <w:sz w:val="21"/>
          <w:szCs w:val="21"/>
        </w:rPr>
        <w:t xml:space="preserve">Flux de saisie pour l'ingestion des données patient.</w:t>
      </w:r>
    </w:p>
    <w:p>
      <w:pPr>
        <w:pStyle w:val="ListParagraph"/>
        <w:numPr>
          <w:ilvl w:val="0"/>
          <w:numId w:val="2"/>
        </w:numPr>
        <w:spacing w:after="80"/>
      </w:pPr>
      <w:r>
        <w:rPr>
          <w:rFonts w:ascii="Calibri" w:cs="Calibri" w:eastAsia="Calibri" w:hAnsi="Calibri"/>
          <w:sz w:val="21"/>
          <w:szCs w:val="21"/>
        </w:rPr>
        <w:t xml:space="preserve">Surfaces de reporting pour le clinicien.</w:t>
      </w:r>
    </w:p>
    <w:p>
      <w:pPr>
        <w:pStyle w:val="ListParagraph"/>
        <w:numPr>
          <w:ilvl w:val="0"/>
          <w:numId w:val="2"/>
        </w:numPr>
        <w:spacing w:after="80"/>
      </w:pPr>
      <w:r>
        <w:rPr>
          <w:rFonts w:ascii="Calibri" w:cs="Calibri" w:eastAsia="Calibri" w:hAnsi="Calibri"/>
          <w:sz w:val="21"/>
          <w:szCs w:val="21"/>
        </w:rPr>
        <w:t xml:space="preserve">Authentification et gestion de session.</w:t>
      </w:r>
    </w:p>
    <w:p>
      <w:pPr>
        <w:pStyle w:val="ListParagraph"/>
        <w:numPr>
          <w:ilvl w:val="0"/>
          <w:numId w:val="2"/>
        </w:numPr>
        <w:spacing w:after="80"/>
      </w:pPr>
      <w:r>
        <w:rPr>
          <w:rFonts w:ascii="Calibri" w:cs="Calibri" w:eastAsia="Calibri" w:hAnsi="Calibri"/>
          <w:sz w:val="21"/>
          <w:szCs w:val="21"/>
        </w:rPr>
        <w:t xml:space="preserve">Connexion temps réel aux événements backend via des hooks basés sur socket.</w:t>
      </w:r>
    </w:p>
    <w:p>
      <w:pPr>
        <w:pStyle w:val="Heading3"/>
        <w:spacing w:after="120" w:before="240"/>
      </w:pPr>
      <w:r>
        <w:rPr>
          <w:rFonts w:ascii="Calibri" w:cs="Calibri" w:eastAsia="Calibri" w:hAnsi="Calibri"/>
          <w:b/>
          <w:bCs/>
          <w:color w:val="5B6470"/>
          <w:sz w:val="23"/>
          <w:szCs w:val="23"/>
        </w:rPr>
        <w:t xml:space="preserve">6.2 Gestion d'état côté frontend</w:t>
      </w:r>
    </w:p>
    <w:p>
      <w:pPr>
        <w:pStyle w:val="ListParagraph"/>
        <w:numPr>
          <w:ilvl w:val="0"/>
          <w:numId w:val="2"/>
        </w:numPr>
        <w:spacing w:after="80"/>
      </w:pPr>
      <w:r>
        <w:rPr>
          <w:rFonts w:ascii="Calibri" w:cs="Calibri" w:eastAsia="Calibri" w:hAnsi="Calibri"/>
          <w:sz w:val="21"/>
          <w:szCs w:val="21"/>
        </w:rPr>
        <w:t xml:space="preserve">TanStack React Query gère la récupération et l'invalidation des données API.</w:t>
      </w:r>
    </w:p>
    <w:p>
      <w:pPr>
        <w:pStyle w:val="ListParagraph"/>
        <w:numPr>
          <w:ilvl w:val="0"/>
          <w:numId w:val="2"/>
        </w:numPr>
        <w:spacing w:after="80"/>
      </w:pPr>
      <w:r>
        <w:rPr>
          <w:rFonts w:ascii="Calibri" w:cs="Calibri" w:eastAsia="Calibri" w:hAnsi="Calibri"/>
          <w:sz w:val="21"/>
          <w:szCs w:val="21"/>
        </w:rPr>
        <w:t xml:space="preserve">Les wrappers typés dans apps/web/src/lib/api.ts encapsulent la communication avec le backend.</w:t>
      </w:r>
    </w:p>
    <w:p>
      <w:pPr>
        <w:pStyle w:val="Heading2"/>
        <w:spacing w:after="160" w:before="360"/>
      </w:pPr>
      <w:r>
        <w:rPr>
          <w:rFonts w:ascii="Calibri" w:cs="Calibri" w:eastAsia="Calibri" w:hAnsi="Calibri"/>
          <w:b/>
          <w:bCs/>
          <w:color w:val="0E6E63"/>
          <w:sz w:val="26"/>
          <w:szCs w:val="26"/>
        </w:rPr>
        <w:t xml:space="preserve">7. Pipeline IA et analyse</w:t>
      </w:r>
    </w:p>
    <w:p>
      <w:pPr>
        <w:pStyle w:val="Heading3"/>
        <w:spacing w:after="120" w:before="240"/>
      </w:pPr>
      <w:r>
        <w:rPr>
          <w:rFonts w:ascii="Calibri" w:cs="Calibri" w:eastAsia="Calibri" w:hAnsi="Calibri"/>
          <w:b/>
          <w:bCs/>
          <w:color w:val="5B6470"/>
          <w:sz w:val="23"/>
          <w:szCs w:val="23"/>
        </w:rPr>
        <w:t xml:space="preserve">7.1 Génération de l'état "jumeau numérique"</w:t>
      </w:r>
    </w:p>
    <w:p>
      <w:pPr>
        <w:spacing w:after="160" w:line="276"/>
        <w:jc w:val="both"/>
      </w:pPr>
      <w:r>
        <w:rPr>
          <w:rFonts w:ascii="Calibri" w:cs="Calibri" w:eastAsia="Calibri" w:hAnsi="Calibri"/>
          <w:b w:val="false"/>
          <w:bCs w:val="false"/>
          <w:i w:val="false"/>
          <w:iCs w:val="false"/>
          <w:sz w:val="21"/>
          <w:szCs w:val="21"/>
        </w:rPr>
        <w:t xml:space="preserve">Le backend construit une représentation compacte du statut récent du patient via apps/api/src/twin/twin.service.ts, incluant les dernières lectures glycémiques, les statistiques dérivées (moyenne, temps dans la cible, événements hypo/hyper), les lacunes de données et un score de qualité, ainsi que des indicateurs d'anomalie optionnels.</w:t>
      </w:r>
    </w:p>
    <w:p>
      <w:pPr>
        <w:pStyle w:val="Heading3"/>
        <w:spacing w:after="120" w:before="240"/>
      </w:pPr>
      <w:r>
        <w:rPr>
          <w:rFonts w:ascii="Calibri" w:cs="Calibri" w:eastAsia="Calibri" w:hAnsi="Calibri"/>
          <w:b/>
          <w:bCs/>
          <w:color w:val="5B6470"/>
          <w:sz w:val="23"/>
          <w:szCs w:val="23"/>
        </w:rPr>
        <w:t xml:space="preserve">7.2 Orchestration de l'analyse clinique</w:t>
      </w:r>
    </w:p>
    <w:p>
      <w:pPr>
        <w:spacing w:after="160" w:line="276"/>
        <w:jc w:val="both"/>
      </w:pPr>
      <w:r>
        <w:rPr>
          <w:rFonts w:ascii="Calibri" w:cs="Calibri" w:eastAsia="Calibri" w:hAnsi="Calibri"/>
          <w:b w:val="false"/>
          <w:bCs w:val="false"/>
          <w:i w:val="false"/>
          <w:iCs w:val="false"/>
          <w:sz w:val="21"/>
          <w:szCs w:val="21"/>
        </w:rPr>
        <w:t xml:space="preserve">Le service d'orchestration dans apps/api/src/agent-orchestration/agent-orchestration.service.ts coordonne l'assemblage de l'état jumeau, la construction du prompt, l'appel optionnel au LLM, un repli sur des résultats simulés si Mistral est indisponible, et la persistance dans le modèle ClinicalAnalysis.</w:t>
      </w:r>
    </w:p>
    <w:p>
      <w:pPr>
        <w:pStyle w:val="Heading2"/>
        <w:spacing w:after="160" w:before="360"/>
      </w:pPr>
      <w:r>
        <w:rPr>
          <w:rFonts w:ascii="Calibri" w:cs="Calibri" w:eastAsia="Calibri" w:hAnsi="Calibri"/>
          <w:b/>
          <w:bCs/>
          <w:color w:val="0E6E63"/>
          <w:sz w:val="26"/>
          <w:szCs w:val="26"/>
        </w:rPr>
        <w:t xml:space="preserve">8. Détail technique des modèles de risque</w:t>
      </w:r>
    </w:p>
    <w:p>
      <w:pPr>
        <w:pStyle w:val="Heading3"/>
        <w:spacing w:after="120" w:before="240"/>
      </w:pPr>
      <w:r>
        <w:rPr>
          <w:rFonts w:ascii="Calibri" w:cs="Calibri" w:eastAsia="Calibri" w:hAnsi="Calibri"/>
          <w:b/>
          <w:bCs/>
          <w:color w:val="5B6470"/>
          <w:sz w:val="23"/>
          <w:szCs w:val="23"/>
        </w:rPr>
        <w:t xml:space="preserve">8.1 Modèle de dépistage du diabète (script d'entraînement)</w:t>
      </w:r>
    </w:p>
    <w:p>
      <w:pPr>
        <w:spacing w:after="160" w:line="276"/>
        <w:jc w:val="both"/>
      </w:pPr>
      <w:r>
        <w:rPr>
          <w:rFonts w:ascii="Calibri" w:cs="Calibri" w:eastAsia="Calibri" w:hAnsi="Calibri"/>
          <w:b w:val="false"/>
          <w:bCs w:val="false"/>
          <w:i w:val="false"/>
          <w:iCs w:val="false"/>
          <w:sz w:val="21"/>
          <w:szCs w:val="21"/>
        </w:rPr>
        <w:t xml:space="preserve">Le script carepulse_risk_model.py charge le jeu de données Pima Indians Diabetes (768 patients, 8 variables + une cible binaire), effectue un split stratifié 80/20, entraîne un Decision Tree de référence et un Random Forest (300 arbres, profondeur maximale 6), puis évalue les deux modèles avec accuracy, precision, recall, F1 et ROC-AUC, complétés par une validation croisée à 5 plis. L'importance des variables est également calculée pour interpréter les prédictions du Random Forest.</w:t>
      </w:r>
    </w:p>
    <w:p>
      <w:pPr>
        <w:pStyle w:val="Heading3"/>
        <w:spacing w:after="120" w:before="240"/>
      </w:pPr>
      <w:r>
        <w:rPr>
          <w:rFonts w:ascii="Calibri" w:cs="Calibri" w:eastAsia="Calibri" w:hAnsi="Calibri"/>
          <w:b/>
          <w:bCs/>
          <w:color w:val="5B6470"/>
          <w:sz w:val="23"/>
          <w:szCs w:val="23"/>
        </w:rPr>
        <w:t xml:space="preserve">8.2 Microservice FastAPI (agent/server.py)</w:t>
      </w:r>
    </w:p>
    <w:p>
      <w:pPr>
        <w:spacing w:after="160" w:line="276"/>
        <w:jc w:val="both"/>
      </w:pPr>
      <w:r>
        <w:rPr>
          <w:rFonts w:ascii="Calibri" w:cs="Calibri" w:eastAsia="Calibri" w:hAnsi="Calibri"/>
          <w:b w:val="false"/>
          <w:bCs w:val="false"/>
          <w:i w:val="false"/>
          <w:iCs w:val="false"/>
          <w:sz w:val="21"/>
          <w:szCs w:val="21"/>
        </w:rPr>
        <w:t xml:space="preserve">Le service expose les modèles de risque diabète et réadmission ainsi qu'un moteur de règles cliniques. Au démarrage (lifespan), il entraîne le modèle de diabète à partir de agent/pima.csv et tente d'entraîner le modèle de réadmission ; un échec sur ce dernier est loggé sans bloquer le service. Chaque endpoint de prédiction convertit la réponse en score de probabilité (0 à 1) puis en catégorie low / moderate / high / very_high via des seuils dédiés.</w:t>
      </w:r>
    </w:p>
    <w:p>
      <w:pPr>
        <w:pStyle w:val="Heading3"/>
        <w:spacing w:after="120" w:before="240"/>
      </w:pPr>
      <w:r>
        <w:rPr>
          <w:rFonts w:ascii="Calibri" w:cs="Calibri" w:eastAsia="Calibri" w:hAnsi="Calibri"/>
          <w:b/>
          <w:bCs/>
          <w:color w:val="5B6470"/>
          <w:sz w:val="23"/>
          <w:szCs w:val="23"/>
        </w:rPr>
        <w:t xml:space="preserve">8.3 Modèle de réadmission hospitalière (carepulse_readmission_model.py)</w:t>
      </w:r>
    </w:p>
    <w:p>
      <w:pPr>
        <w:spacing w:after="160" w:line="276"/>
        <w:jc w:val="both"/>
      </w:pPr>
      <w:r>
        <w:rPr>
          <w:rFonts w:ascii="Calibri" w:cs="Calibri" w:eastAsia="Calibri" w:hAnsi="Calibri"/>
          <w:b w:val="false"/>
          <w:bCs w:val="false"/>
          <w:i w:val="false"/>
          <w:iCs w:val="false"/>
          <w:sz w:val="21"/>
          <w:szCs w:val="21"/>
        </w:rPr>
        <w:t xml:space="preserve">Le module charge le jeu de données UCI Diabetes 130-US Hospitals (via l'API ucimlrepo ou un CSV local), nettoie les valeurs manquantes, encode les variables catégorielles en one-hot et convertit les tranches d'âge en valeur numérique médiane. La cible binaire correspond à une réadmission en moins de 30 jours. Le modèle est un Random Forest à 300 arbres, profondeur maximale 10, avec class_weight="balanced" pour compenser le déséquilibre de classes, évalué par accuracy, precision, recall, F1 et ROC-AUC.</w:t>
      </w:r>
    </w:p>
    <w:p>
      <w:pPr>
        <w:pStyle w:val="Heading3"/>
        <w:spacing w:after="120" w:before="240"/>
      </w:pPr>
      <w:r>
        <w:rPr>
          <w:rFonts w:ascii="Calibri" w:cs="Calibri" w:eastAsia="Calibri" w:hAnsi="Calibri"/>
          <w:b/>
          <w:bCs/>
          <w:color w:val="5B6470"/>
          <w:sz w:val="23"/>
          <w:szCs w:val="23"/>
        </w:rPr>
        <w:t xml:space="preserve">8.4 Moteur de règles cliniques</w:t>
      </w:r>
    </w:p>
    <w:p>
      <w:pPr>
        <w:spacing w:after="160" w:line="276"/>
        <w:jc w:val="both"/>
      </w:pPr>
      <w:r>
        <w:rPr>
          <w:rFonts w:ascii="Calibri" w:cs="Calibri" w:eastAsia="Calibri" w:hAnsi="Calibri"/>
          <w:b w:val="false"/>
          <w:bCs w:val="false"/>
          <w:i w:val="false"/>
          <w:iCs w:val="false"/>
          <w:sz w:val="21"/>
          <w:szCs w:val="21"/>
        </w:rPr>
        <w:t xml:space="preserve">En complément des modèles ML, l'endpoint /clinical-rules calcule à la volée, à partir des lectures de glycémie, des événements et des médicaments transmis : la glycémie moyenne et sa variance, le temps dans la cible (70-180 mg/dL), le nombre d'événements hypo et hyperglycémiques, la fréquence des repas et un score d'adhérence combinant complétude des données et prise de traitement. Ces statistiques alimentent une évaluation de risque (hyperglycémie, hypoglycémie, adhérence, style de vie, risque global) puis un moteur d'alertes et un résumé textuel automatique.</w:t>
      </w:r>
    </w:p>
    <w:p>
      <w:pPr>
        <w:pStyle w:val="Heading2"/>
        <w:spacing w:after="160" w:before="360"/>
      </w:pPr>
      <w:r>
        <w:rPr>
          <w:rFonts w:ascii="Calibri" w:cs="Calibri" w:eastAsia="Calibri" w:hAnsi="Calibri"/>
          <w:b/>
          <w:bCs/>
          <w:color w:val="0E6E63"/>
          <w:sz w:val="26"/>
          <w:szCs w:val="26"/>
        </w:rPr>
        <w:t xml:space="preserve">9. Environnement de développement local</w:t>
      </w:r>
    </w:p>
    <w:p>
      <w:pPr>
        <w:pStyle w:val="Heading3"/>
        <w:spacing w:after="120" w:before="240"/>
      </w:pPr>
      <w:r>
        <w:rPr>
          <w:rFonts w:ascii="Calibri" w:cs="Calibri" w:eastAsia="Calibri" w:hAnsi="Calibri"/>
          <w:b/>
          <w:bCs/>
          <w:color w:val="5B6470"/>
          <w:sz w:val="23"/>
          <w:szCs w:val="23"/>
        </w:rPr>
        <w:t xml:space="preserve">9.1 Prérequis</w:t>
      </w:r>
    </w:p>
    <w:p>
      <w:pPr>
        <w:pStyle w:val="ListParagraph"/>
        <w:numPr>
          <w:ilvl w:val="0"/>
          <w:numId w:val="2"/>
        </w:numPr>
        <w:spacing w:after="80"/>
      </w:pPr>
      <w:r>
        <w:rPr>
          <w:rFonts w:ascii="Calibri" w:cs="Calibri" w:eastAsia="Calibri" w:hAnsi="Calibri"/>
          <w:sz w:val="21"/>
          <w:szCs w:val="21"/>
        </w:rPr>
        <w:t xml:space="preserve">Node.js 20+</w:t>
      </w:r>
    </w:p>
    <w:p>
      <w:pPr>
        <w:pStyle w:val="ListParagraph"/>
        <w:numPr>
          <w:ilvl w:val="0"/>
          <w:numId w:val="2"/>
        </w:numPr>
        <w:spacing w:after="80"/>
      </w:pPr>
      <w:r>
        <w:rPr>
          <w:rFonts w:ascii="Calibri" w:cs="Calibri" w:eastAsia="Calibri" w:hAnsi="Calibri"/>
          <w:sz w:val="21"/>
          <w:szCs w:val="21"/>
        </w:rPr>
        <w:t xml:space="preserve">npm 10+</w:t>
      </w:r>
    </w:p>
    <w:p>
      <w:pPr>
        <w:pStyle w:val="ListParagraph"/>
        <w:numPr>
          <w:ilvl w:val="0"/>
          <w:numId w:val="2"/>
        </w:numPr>
        <w:spacing w:after="80"/>
      </w:pPr>
      <w:r>
        <w:rPr>
          <w:rFonts w:ascii="Calibri" w:cs="Calibri" w:eastAsia="Calibri" w:hAnsi="Calibri"/>
          <w:sz w:val="21"/>
          <w:szCs w:val="21"/>
        </w:rPr>
        <w:t xml:space="preserve">Docker Desktop (recommandé pour Postgres, Redis et le service de modèle)</w:t>
      </w:r>
    </w:p>
    <w:p>
      <w:pPr>
        <w:pStyle w:val="ListParagraph"/>
        <w:numPr>
          <w:ilvl w:val="0"/>
          <w:numId w:val="2"/>
        </w:numPr>
        <w:spacing w:after="80"/>
      </w:pPr>
      <w:r>
        <w:rPr>
          <w:rFonts w:ascii="Calibri" w:cs="Calibri" w:eastAsia="Calibri" w:hAnsi="Calibri"/>
          <w:sz w:val="21"/>
          <w:szCs w:val="21"/>
        </w:rPr>
        <w:t xml:space="preserve">Python 3.10+ (pour le service agent)</w:t>
      </w:r>
    </w:p>
    <w:p>
      <w:pPr>
        <w:pStyle w:val="Heading3"/>
        <w:spacing w:after="120" w:before="240"/>
      </w:pPr>
      <w:r>
        <w:rPr>
          <w:rFonts w:ascii="Calibri" w:cs="Calibri" w:eastAsia="Calibri" w:hAnsi="Calibri"/>
          <w:b/>
          <w:bCs/>
          <w:color w:val="5B6470"/>
          <w:sz w:val="23"/>
          <w:szCs w:val="23"/>
        </w:rPr>
        <w:t xml:space="preserve">9.2 Installation et démarrage</w:t>
      </w:r>
    </w:p>
    <w:p>
      <w:pPr>
        <w:pBdr>
          <w:top w:val="single" w:color="CCCCCC" w:sz="4" w:space="4"/>
          <w:bottom w:val="single" w:color="CCCCCC" w:sz="4" w:space="4"/>
          <w:left w:val="single" w:color="CCCCCC" w:sz="4" w:space="4"/>
          <w:right w:val="single" w:color="CCCCCC" w:sz="4" w:space="4"/>
        </w:pBdr>
        <w:shd w:fill="F4F4F4" w:val="clear"/>
        <w:spacing w:after="200" w:before="120"/>
      </w:pPr>
      <w:r>
        <w:rPr>
          <w:rFonts w:ascii="Consolas" w:cs="Consolas" w:eastAsia="Consolas" w:hAnsi="Consolas"/>
          <w:color w:val="333333"/>
          <w:sz w:val="18"/>
          <w:szCs w:val="18"/>
        </w:rPr>
        <w:t xml:space="preserve">npm install</w:t>
      </w:r>
      <w:r>
        <w:br/>
      </w:r>
      <w:r>
        <w:rPr>
          <w:rFonts w:ascii="Consolas" w:cs="Consolas" w:eastAsia="Consolas" w:hAnsi="Consolas"/>
          <w:color w:val="333333"/>
          <w:sz w:val="18"/>
          <w:szCs w:val="18"/>
        </w:rPr>
        <w:t xml:space="preserve">docker compose up -d postgres redis risk-model</w:t>
      </w:r>
      <w:r>
        <w:br/>
      </w:r>
      <w:r>
        <w:rPr>
          <w:rFonts w:ascii="Consolas" w:cs="Consolas" w:eastAsia="Consolas" w:hAnsi="Consolas"/>
          <w:color w:val="333333"/>
          <w:sz w:val="18"/>
          <w:szCs w:val="18"/>
        </w:rPr>
        <w:t xml:space="preserve"/>
      </w:r>
      <w:r>
        <w:br/>
      </w:r>
      <w:r>
        <w:rPr>
          <w:rFonts w:ascii="Consolas" w:cs="Consolas" w:eastAsia="Consolas" w:hAnsi="Consolas"/>
          <w:color w:val="333333"/>
          <w:sz w:val="18"/>
          <w:szCs w:val="18"/>
        </w:rPr>
        <w:t xml:space="preserve"># API</w:t>
      </w:r>
      <w:r>
        <w:br/>
      </w:r>
      <w:r>
        <w:rPr>
          <w:rFonts w:ascii="Consolas" w:cs="Consolas" w:eastAsia="Consolas" w:hAnsi="Consolas"/>
          <w:color w:val="333333"/>
          <w:sz w:val="18"/>
          <w:szCs w:val="18"/>
        </w:rPr>
        <w:t xml:space="preserve">cd apps/api &amp;&amp; npm run dev</w:t>
      </w:r>
      <w:r>
        <w:br/>
      </w:r>
      <w:r>
        <w:rPr>
          <w:rFonts w:ascii="Consolas" w:cs="Consolas" w:eastAsia="Consolas" w:hAnsi="Consolas"/>
          <w:color w:val="333333"/>
          <w:sz w:val="18"/>
          <w:szCs w:val="18"/>
        </w:rPr>
        <w:t xml:space="preserve"/>
      </w:r>
      <w:r>
        <w:br/>
      </w:r>
      <w:r>
        <w:rPr>
          <w:rFonts w:ascii="Consolas" w:cs="Consolas" w:eastAsia="Consolas" w:hAnsi="Consolas"/>
          <w:color w:val="333333"/>
          <w:sz w:val="18"/>
          <w:szCs w:val="18"/>
        </w:rPr>
        <w:t xml:space="preserve"># Web</w:t>
      </w:r>
      <w:r>
        <w:br/>
      </w:r>
      <w:r>
        <w:rPr>
          <w:rFonts w:ascii="Consolas" w:cs="Consolas" w:eastAsia="Consolas" w:hAnsi="Consolas"/>
          <w:color w:val="333333"/>
          <w:sz w:val="18"/>
          <w:szCs w:val="18"/>
        </w:rPr>
        <w:t xml:space="preserve">cd apps/web &amp;&amp; npm run dev</w:t>
      </w:r>
      <w:r>
        <w:br/>
      </w:r>
      <w:r>
        <w:rPr>
          <w:rFonts w:ascii="Consolas" w:cs="Consolas" w:eastAsia="Consolas" w:hAnsi="Consolas"/>
          <w:color w:val="333333"/>
          <w:sz w:val="18"/>
          <w:szCs w:val="18"/>
        </w:rPr>
        <w:t xml:space="preserve"/>
      </w:r>
      <w:r>
        <w:br/>
      </w:r>
      <w:r>
        <w:rPr>
          <w:rFonts w:ascii="Consolas" w:cs="Consolas" w:eastAsia="Consolas" w:hAnsi="Consolas"/>
          <w:color w:val="333333"/>
          <w:sz w:val="18"/>
          <w:szCs w:val="18"/>
        </w:rPr>
        <w:t xml:space="preserve"># Service Python</w:t>
      </w:r>
      <w:r>
        <w:br/>
      </w:r>
      <w:r>
        <w:rPr>
          <w:rFonts w:ascii="Consolas" w:cs="Consolas" w:eastAsia="Consolas" w:hAnsi="Consolas"/>
          <w:color w:val="333333"/>
          <w:sz w:val="18"/>
          <w:szCs w:val="18"/>
        </w:rPr>
        <w:t xml:space="preserve">cd agent &amp;&amp; python server.py</w:t>
      </w:r>
    </w:p>
    <w:p>
      <w:pPr>
        <w:pStyle w:val="Heading3"/>
        <w:spacing w:after="120" w:before="240"/>
      </w:pPr>
      <w:r>
        <w:rPr>
          <w:rFonts w:ascii="Calibri" w:cs="Calibri" w:eastAsia="Calibri" w:hAnsi="Calibri"/>
          <w:b/>
          <w:bCs/>
          <w:color w:val="5B6470"/>
          <w:sz w:val="23"/>
          <w:szCs w:val="23"/>
        </w:rPr>
        <w:t xml:space="preserve">9.3 Commandes base de données</w:t>
      </w:r>
    </w:p>
    <w:p>
      <w:pPr>
        <w:pBdr>
          <w:top w:val="single" w:color="CCCCCC" w:sz="4" w:space="4"/>
          <w:bottom w:val="single" w:color="CCCCCC" w:sz="4" w:space="4"/>
          <w:left w:val="single" w:color="CCCCCC" w:sz="4" w:space="4"/>
          <w:right w:val="single" w:color="CCCCCC" w:sz="4" w:space="4"/>
        </w:pBdr>
        <w:shd w:fill="F4F4F4" w:val="clear"/>
        <w:spacing w:after="200" w:before="120"/>
      </w:pPr>
      <w:r>
        <w:rPr>
          <w:rFonts w:ascii="Consolas" w:cs="Consolas" w:eastAsia="Consolas" w:hAnsi="Consolas"/>
          <w:color w:val="333333"/>
          <w:sz w:val="18"/>
          <w:szCs w:val="18"/>
        </w:rPr>
        <w:t xml:space="preserve">npm run db:generate</w:t>
      </w:r>
      <w:r>
        <w:br/>
      </w:r>
      <w:r>
        <w:rPr>
          <w:rFonts w:ascii="Consolas" w:cs="Consolas" w:eastAsia="Consolas" w:hAnsi="Consolas"/>
          <w:color w:val="333333"/>
          <w:sz w:val="18"/>
          <w:szCs w:val="18"/>
        </w:rPr>
        <w:t xml:space="preserve">npm run db:push</w:t>
      </w:r>
      <w:r>
        <w:br/>
      </w:r>
      <w:r>
        <w:rPr>
          <w:rFonts w:ascii="Consolas" w:cs="Consolas" w:eastAsia="Consolas" w:hAnsi="Consolas"/>
          <w:color w:val="333333"/>
          <w:sz w:val="18"/>
          <w:szCs w:val="18"/>
        </w:rPr>
        <w:t xml:space="preserve">npm run db:seed</w:t>
      </w:r>
    </w:p>
    <w:p>
      <w:pPr>
        <w:pStyle w:val="Heading2"/>
        <w:spacing w:after="160" w:before="360"/>
      </w:pPr>
      <w:r>
        <w:rPr>
          <w:rFonts w:ascii="Calibri" w:cs="Calibri" w:eastAsia="Calibri" w:hAnsi="Calibri"/>
          <w:b/>
          <w:bCs/>
          <w:color w:val="0E6E63"/>
          <w:sz w:val="26"/>
          <w:szCs w:val="26"/>
        </w:rPr>
        <w:t xml:space="preserve">10. Variables d'environnement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shd w:fill="0B4F4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Variable</w:t>
            </w:r>
          </w:p>
        </w:tc>
        <w:tc>
          <w:tcPr>
            <w:tcW w:type="dxa" w:w="6400"/>
            <w:shd w:fill="0B4F4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Usage</w:t>
            </w:r>
          </w:p>
        </w:tc>
      </w:tr>
      <w:tr>
        <w:tc>
          <w:tcPr>
            <w:tcW w:type="dxa" w:w="28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DATABASE_URL</w:t>
            </w:r>
          </w:p>
        </w:tc>
        <w:tc>
          <w:tcPr>
            <w:tcW w:type="dxa" w:w="64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Chaîne de connexion PostgreSQL</w:t>
            </w:r>
          </w:p>
        </w:tc>
      </w:tr>
      <w:tr>
        <w:tc>
          <w:tcPr>
            <w:tcW w:type="dxa" w:w="28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REDIS_URL</w:t>
            </w:r>
          </w:p>
        </w:tc>
        <w:tc>
          <w:tcPr>
            <w:tcW w:type="dxa" w:w="64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Connexion Redis (files d'attente)</w:t>
            </w:r>
          </w:p>
        </w:tc>
      </w:tr>
      <w:tr>
        <w:tc>
          <w:tcPr>
            <w:tcW w:type="dxa" w:w="28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JWT_SECRET</w:t>
            </w:r>
          </w:p>
        </w:tc>
        <w:tc>
          <w:tcPr>
            <w:tcW w:type="dxa" w:w="64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Clé de signature des jetons d'authentification</w:t>
            </w:r>
          </w:p>
        </w:tc>
      </w:tr>
      <w:tr>
        <w:tc>
          <w:tcPr>
            <w:tcW w:type="dxa" w:w="28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FRONTEND_URL</w:t>
            </w:r>
          </w:p>
        </w:tc>
        <w:tc>
          <w:tcPr>
            <w:tcW w:type="dxa" w:w="64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URL autorisée pour CORS</w:t>
            </w:r>
          </w:p>
        </w:tc>
      </w:tr>
      <w:tr>
        <w:tc>
          <w:tcPr>
            <w:tcW w:type="dxa" w:w="28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PORT</w:t>
            </w:r>
          </w:p>
        </w:tc>
        <w:tc>
          <w:tcPr>
            <w:tcW w:type="dxa" w:w="64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Port d'écoute de l'API</w:t>
            </w:r>
          </w:p>
        </w:tc>
      </w:tr>
      <w:tr>
        <w:tc>
          <w:tcPr>
            <w:tcW w:type="dxa" w:w="28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MISTRAL_API_KEY</w:t>
            </w:r>
          </w:p>
        </w:tc>
        <w:tc>
          <w:tcPr>
            <w:tcW w:type="dxa" w:w="64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Clé d'accès au LLM Mistral</w:t>
            </w:r>
          </w:p>
        </w:tc>
      </w:tr>
      <w:tr>
        <w:tc>
          <w:tcPr>
            <w:tcW w:type="dxa" w:w="28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MISTRAL_MODEL</w:t>
            </w:r>
          </w:p>
        </w:tc>
        <w:tc>
          <w:tcPr>
            <w:tcW w:type="dxa" w:w="64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Modèle Mistral utilisé par défaut</w:t>
            </w:r>
          </w:p>
        </w:tc>
      </w:tr>
      <w:tr>
        <w:tc>
          <w:tcPr>
            <w:tcW w:type="dxa" w:w="28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RISK_MODEL_URL</w:t>
            </w:r>
          </w:p>
        </w:tc>
        <w:tc>
          <w:tcPr>
            <w:tcW w:type="dxa" w:w="64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URL du microservice Python de scoring</w:t>
            </w:r>
          </w:p>
        </w:tc>
      </w:tr>
    </w:tbl>
    <w:p>
      <w:pPr>
        <w:pStyle w:val="Heading2"/>
        <w:spacing w:after="160" w:before="360"/>
      </w:pPr>
      <w:r>
        <w:rPr>
          <w:rFonts w:ascii="Calibri" w:cs="Calibri" w:eastAsia="Calibri" w:hAnsi="Calibri"/>
          <w:b/>
          <w:bCs/>
          <w:color w:val="0E6E63"/>
          <w:sz w:val="26"/>
          <w:szCs w:val="26"/>
        </w:rPr>
        <w:t xml:space="preserve">11. Surface API (routes principales)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rPr>
          <w:tblHeader/>
        </w:trPr>
        <w:tc>
          <w:tcPr>
            <w:tcW w:type="dxa" w:w="4200"/>
            <w:shd w:fill="0B4F4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Route</w:t>
            </w:r>
          </w:p>
        </w:tc>
        <w:tc>
          <w:tcPr>
            <w:tcW w:type="dxa" w:w="5000"/>
            <w:shd w:fill="0B4F4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Domaine</w:t>
            </w:r>
          </w:p>
        </w:tc>
      </w:tr>
      <w:tr>
        <w:tc>
          <w:tcPr>
            <w:tcW w:type="dxa" w:w="42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/api/auth/*</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Authentification</w:t>
            </w:r>
          </w:p>
        </w:tc>
      </w:tr>
      <w:tr>
        <w:tc>
          <w:tcPr>
            <w:tcW w:type="dxa" w:w="42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/api/patients/*</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Gestion des patients</w:t>
            </w:r>
          </w:p>
        </w:tc>
      </w:tr>
      <w:tr>
        <w:tc>
          <w:tcPr>
            <w:tcW w:type="dxa" w:w="42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/api/clinicians/*</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Gestion des cliniciens</w:t>
            </w:r>
          </w:p>
        </w:tc>
      </w:tr>
      <w:tr>
        <w:tc>
          <w:tcPr>
            <w:tcW w:type="dxa" w:w="42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/api/ingestion/*</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Ingestion des données patient</w:t>
            </w:r>
          </w:p>
        </w:tc>
      </w:tr>
      <w:tr>
        <w:tc>
          <w:tcPr>
            <w:tcW w:type="dxa" w:w="42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/api/twin/*</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État du jumeau numérique patient</w:t>
            </w:r>
          </w:p>
        </w:tc>
      </w:tr>
      <w:tr>
        <w:tc>
          <w:tcPr>
            <w:tcW w:type="dxa" w:w="42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/api/agents/analysis/*, /api/agents/risk/*</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Orchestration de l'analyse IA</w:t>
            </w:r>
          </w:p>
        </w:tc>
      </w:tr>
      <w:tr>
        <w:tc>
          <w:tcPr>
            <w:tcW w:type="dxa" w:w="42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/api/analyses/patient/:patientId</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Analyses cliniques d'un patient</w:t>
            </w:r>
          </w:p>
        </w:tc>
      </w:tr>
      <w:tr>
        <w:tc>
          <w:tcPr>
            <w:tcW w:type="dxa" w:w="42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/api/reports/patient/:patientId</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Rapports cliniques d'un patient</w:t>
            </w:r>
          </w:p>
        </w:tc>
      </w:tr>
      <w:tr>
        <w:tc>
          <w:tcPr>
            <w:tcW w:type="dxa" w:w="42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/api/chat/*</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1A1A1A"/>
                <w:sz w:val="19"/>
                <w:szCs w:val="19"/>
              </w:rPr>
              <w:t xml:space="preserve">Conversations (Care Assistant Agent)</w:t>
            </w:r>
          </w:p>
        </w:tc>
      </w:tr>
    </w:tbl>
    <w:p>
      <w:pPr>
        <w:pStyle w:val="Heading2"/>
        <w:spacing w:after="160" w:before="360"/>
      </w:pPr>
      <w:r>
        <w:rPr>
          <w:rFonts w:ascii="Calibri" w:cs="Calibri" w:eastAsia="Calibri" w:hAnsi="Calibri"/>
          <w:b/>
          <w:bCs/>
          <w:color w:val="0E6E63"/>
          <w:sz w:val="26"/>
          <w:szCs w:val="26"/>
        </w:rPr>
        <w:t xml:space="preserve">12. Notes de déploiement</w:t>
      </w:r>
    </w:p>
    <w:p>
      <w:pPr>
        <w:spacing w:after="160" w:line="276"/>
        <w:jc w:val="both"/>
      </w:pPr>
      <w:r>
        <w:rPr>
          <w:rFonts w:ascii="Calibri" w:cs="Calibri" w:eastAsia="Calibri" w:hAnsi="Calibri"/>
          <w:b w:val="false"/>
          <w:bCs w:val="false"/>
          <w:i w:val="false"/>
          <w:iCs w:val="false"/>
          <w:sz w:val="21"/>
          <w:szCs w:val="21"/>
        </w:rPr>
        <w:t xml:space="preserve">Le dépôt inclut un environnement de développement conteneurisé via docker-compose.yml, avec des services isolés : PostgreSQL, Redis, service de modèle de risque, conteneur API et conteneur web. Pour une mise en production, il serait pertinent de remplacer les valeurs par défaut locales par des services managés de base de données et de gestion des secrets, de durcir les règles CORS, et d'ajouter des health checks de conteneurs ainsi qu'une terminaison HTTPS.</w:t>
      </w:r>
    </w:p>
    <w:p>
      <w:pPr>
        <w:pStyle w:val="Heading2"/>
        <w:spacing w:after="160" w:before="360"/>
      </w:pPr>
      <w:r>
        <w:rPr>
          <w:rFonts w:ascii="Calibri" w:cs="Calibri" w:eastAsia="Calibri" w:hAnsi="Calibri"/>
          <w:b/>
          <w:bCs/>
          <w:color w:val="0E6E63"/>
          <w:sz w:val="26"/>
          <w:szCs w:val="26"/>
        </w:rPr>
        <w:t xml:space="preserve">13. Extensibilité et perspectives</w:t>
      </w:r>
    </w:p>
    <w:p>
      <w:pPr>
        <w:pStyle w:val="ListParagraph"/>
        <w:numPr>
          <w:ilvl w:val="0"/>
          <w:numId w:val="2"/>
        </w:numPr>
        <w:spacing w:after="80"/>
      </w:pPr>
      <w:r>
        <w:rPr>
          <w:rFonts w:ascii="Calibri" w:cs="Calibri" w:eastAsia="Calibri" w:hAnsi="Calibri"/>
          <w:sz w:val="21"/>
          <w:szCs w:val="21"/>
        </w:rPr>
        <w:t xml:space="preserve">Modules de synthèse et d'explication LLM plus avancés.</w:t>
      </w:r>
    </w:p>
    <w:p>
      <w:pPr>
        <w:pStyle w:val="ListParagraph"/>
        <w:numPr>
          <w:ilvl w:val="0"/>
          <w:numId w:val="2"/>
        </w:numPr>
        <w:spacing w:after="80"/>
      </w:pPr>
      <w:r>
        <w:rPr>
          <w:rFonts w:ascii="Calibri" w:cs="Calibri" w:eastAsia="Calibri" w:hAnsi="Calibri"/>
          <w:sz w:val="21"/>
          <w:szCs w:val="21"/>
        </w:rPr>
        <w:t xml:space="preserve">Scaling des workers en arrière-plan pour les analyses longues.</w:t>
      </w:r>
    </w:p>
    <w:p>
      <w:pPr>
        <w:pStyle w:val="ListParagraph"/>
        <w:numPr>
          <w:ilvl w:val="0"/>
          <w:numId w:val="2"/>
        </w:numPr>
        <w:spacing w:after="80"/>
      </w:pPr>
      <w:r>
        <w:rPr>
          <w:rFonts w:ascii="Calibri" w:cs="Calibri" w:eastAsia="Calibri" w:hAnsi="Calibri"/>
          <w:sz w:val="21"/>
          <w:szCs w:val="21"/>
        </w:rPr>
        <w:t xml:space="preserve">Permissions basées sur les rôles (clinicien / patient).</w:t>
      </w:r>
    </w:p>
    <w:p>
      <w:pPr>
        <w:pStyle w:val="ListParagraph"/>
        <w:numPr>
          <w:ilvl w:val="0"/>
          <w:numId w:val="2"/>
        </w:numPr>
        <w:spacing w:after="80"/>
      </w:pPr>
      <w:r>
        <w:rPr>
          <w:rFonts w:ascii="Calibri" w:cs="Calibri" w:eastAsia="Calibri" w:hAnsi="Calibri"/>
          <w:sz w:val="21"/>
          <w:szCs w:val="21"/>
        </w:rPr>
        <w:t xml:space="preserve">Streaming d'événements et tableaux de bord temps réel pour la supervision infirmière/clinicienne.</w:t>
      </w:r>
    </w:p>
    <w:p>
      <w:pPr>
        <w:pStyle w:val="ListParagraph"/>
        <w:numPr>
          <w:ilvl w:val="0"/>
          <w:numId w:val="2"/>
        </w:numPr>
        <w:spacing w:after="80"/>
      </w:pPr>
      <w:r>
        <w:rPr>
          <w:rFonts w:ascii="Calibri" w:cs="Calibri" w:eastAsia="Calibri" w:hAnsi="Calibri"/>
          <w:sz w:val="21"/>
          <w:szCs w:val="21"/>
        </w:rPr>
        <w:t xml:space="preserve">Modèles biomédicaux additionnels au-delà du dépistage du risque glycémique.</w:t>
      </w:r>
    </w:p>
    <w:p>
      <w:pPr>
        <w:pStyle w:val="Heading2"/>
        <w:spacing w:after="160" w:before="360"/>
      </w:pPr>
      <w:r>
        <w:rPr>
          <w:rFonts w:ascii="Calibri" w:cs="Calibri" w:eastAsia="Calibri" w:hAnsi="Calibri"/>
          <w:b/>
          <w:bCs/>
          <w:color w:val="0E6E63"/>
          <w:sz w:val="26"/>
          <w:szCs w:val="26"/>
        </w:rPr>
        <w:t xml:space="preserve">14. Résumé</w:t>
      </w:r>
    </w:p>
    <w:p>
      <w:pPr>
        <w:spacing w:after="160" w:line="276"/>
        <w:jc w:val="both"/>
      </w:pPr>
      <w:r>
        <w:rPr>
          <w:rFonts w:ascii="Calibri" w:cs="Calibri" w:eastAsia="Calibri" w:hAnsi="Calibri"/>
          <w:b w:val="false"/>
          <w:bCs w:val="false"/>
          <w:i w:val="false"/>
          <w:iCs w:val="false"/>
          <w:sz w:val="21"/>
          <w:szCs w:val="21"/>
        </w:rPr>
        <w:t xml:space="preserve">CarePulse est un monorepo pour une plateforme d'intelligence clinique centrée sur le diabète. Il combine un backend NestJS robuste, un frontend React/Next.js, une persistance PostgreSQL et un microservice Python de modélisation du risque, afin de soutenir l'ingestion de données, l'analyse de l'état jumeau, les synthèses assistées par IA et l'évaluation du risque spécifique à chaque patient.</w:t>
      </w:r>
    </w:p>
    <w:p>
      <w:r>
        <w:br w:type="page"/>
      </w:r>
    </w:p>
    <w:p>
      <w:pPr>
        <w:pStyle w:val="Heading2"/>
        <w:spacing w:after="160" w:before="360"/>
      </w:pPr>
      <w:r>
        <w:rPr>
          <w:rFonts w:ascii="Calibri" w:cs="Calibri" w:eastAsia="Calibri" w:hAnsi="Calibri"/>
          <w:b/>
          <w:bCs/>
          <w:color w:val="0E6E63"/>
          <w:sz w:val="26"/>
          <w:szCs w:val="26"/>
        </w:rPr>
        <w:t xml:space="preserve">Sources citées (Partie 1)</w:t>
      </w:r>
    </w:p>
    <w:p>
      <w:pPr>
        <w:pStyle w:val="ListParagraph"/>
        <w:numPr>
          <w:ilvl w:val="0"/>
          <w:numId w:val="2"/>
        </w:numPr>
        <w:spacing w:after="80"/>
      </w:pPr>
      <w:r>
        <w:rPr>
          <w:rFonts w:ascii="Calibri" w:cs="Calibri" w:eastAsia="Calibri" w:hAnsi="Calibri"/>
          <w:sz w:val="21"/>
          <w:szCs w:val="21"/>
        </w:rPr>
        <w:t xml:space="preserve">International Diabetes Federation — IDF Diabetes Atlas, 11e édition, 2024/2025 (diabetesatlas.org).</w:t>
      </w:r>
    </w:p>
    <w:p>
      <w:pPr>
        <w:pStyle w:val="ListParagraph"/>
        <w:numPr>
          <w:ilvl w:val="0"/>
          <w:numId w:val="2"/>
        </w:numPr>
        <w:spacing w:after="80"/>
      </w:pPr>
      <w:r>
        <w:rPr>
          <w:rFonts w:ascii="Calibri" w:cs="Calibri" w:eastAsia="Calibri" w:hAnsi="Calibri"/>
          <w:sz w:val="21"/>
          <w:szCs w:val="21"/>
        </w:rPr>
        <w:t xml:space="preserve">Fédération Française des Diabétiques — Chiffres du diabète dans le monde.</w:t>
      </w:r>
    </w:p>
    <w:p>
      <w:pPr>
        <w:pStyle w:val="ListParagraph"/>
        <w:numPr>
          <w:ilvl w:val="0"/>
          <w:numId w:val="2"/>
        </w:numPr>
        <w:spacing w:after="80"/>
      </w:pPr>
      <w:r>
        <w:rPr>
          <w:rFonts w:ascii="Calibri" w:cs="Calibri" w:eastAsia="Calibri" w:hAnsi="Calibri"/>
          <w:sz w:val="21"/>
          <w:szCs w:val="21"/>
        </w:rPr>
        <w:t xml:space="preserve">UCI Machine Learning Repository — Diabetes 130-US Hospitals dataset, utilisé dans plusieurs publications scientifiques sur la prédiction de réadmission à 30 jours.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2026-07-19T14:43:31.068Z</dcterms:created>
  <dcterms:modified xsi:type="dcterms:W3CDTF">2026-07-19T14:43:31.080Z</dcterms:modified>
</cp:coreProperties>
</file>

<file path=docProps/custom.xml><?xml version="1.0" encoding="utf-8"?>
<Properties xmlns="http://schemas.openxmlformats.org/officeDocument/2006/custom-properties" xmlns:vt="http://schemas.openxmlformats.org/officeDocument/2006/docPropsVTypes"/>
</file>