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กดฟำ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สำนักงานสรรพากรภาค ๓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๓๐ เดือน ตุลาคม พ.ศ.๒๕๖๑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ผู้อำนวยการสำนักบริหารการคลังและรายได้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สำนักงานสรรพากรภาค ๓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๓๐,๐๐๐,๐๐๐.๐๐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๓๙๐,๐๐๐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๑,๐๐๐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๑,๐๐๐.๐๐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๕๔๐,๐๐๐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๑,๐๐๐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๕,๐๐๐.๐๐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๒๗๘,๕๐๐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๑,๐๐๐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๒๐,๐๐๐.๐๐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๑,๒๐๘,๕๐๐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๓,๐๐๐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๒๖,๐๐๐.๐๐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นางสาวศศิธร ศรีทรงผล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นักจัดการงานทั่วไปชำนาญการพิเศษ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 นายวิบูลย์ ชัยชนะศิริวิทยา 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สรรพากรภาค (ผู้อำนวยการสูง)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