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EC681" w14:textId="77777777" w:rsidR="00797A65" w:rsidRPr="00A62711" w:rsidRDefault="00797A65" w:rsidP="00797A65">
      <w:pPr>
        <w:autoSpaceDE w:val="0"/>
        <w:autoSpaceDN w:val="0"/>
        <w:adjustRightInd w:val="0"/>
        <w:spacing w:after="0" w:line="240" w:lineRule="auto"/>
        <w:jc w:val="center"/>
        <w:rPr>
          <w:rFonts w:cs="TimesNewRomanPSMT"/>
          <w:kern w:val="0"/>
          <w:sz w:val="52"/>
          <w:szCs w:val="52"/>
        </w:rPr>
      </w:pPr>
      <w:r w:rsidRPr="00A62711">
        <w:rPr>
          <w:rFonts w:cs="TimesNewRomanPSMT"/>
          <w:kern w:val="0"/>
          <w:sz w:val="52"/>
          <w:szCs w:val="52"/>
        </w:rPr>
        <w:t>ITAO7102 Human Resources Analytics</w:t>
      </w:r>
    </w:p>
    <w:p w14:paraId="07621D28" w14:textId="77777777" w:rsidR="00797A65" w:rsidRPr="00A62711" w:rsidRDefault="00797A65" w:rsidP="00797A65">
      <w:pPr>
        <w:jc w:val="center"/>
        <w:rPr>
          <w:rFonts w:cs="TimesNewRomanPSMT"/>
          <w:kern w:val="0"/>
          <w:sz w:val="52"/>
          <w:szCs w:val="52"/>
        </w:rPr>
      </w:pPr>
      <w:r w:rsidRPr="00A62711">
        <w:rPr>
          <w:rFonts w:cs="TimesNewRomanPSMT"/>
          <w:kern w:val="0"/>
          <w:sz w:val="52"/>
          <w:szCs w:val="52"/>
        </w:rPr>
        <w:t>Assignment</w:t>
      </w:r>
    </w:p>
    <w:p w14:paraId="5A053649" w14:textId="77777777" w:rsidR="00797A65" w:rsidRPr="00A62711" w:rsidRDefault="00797A65" w:rsidP="00797A65">
      <w:pPr>
        <w:jc w:val="center"/>
        <w:rPr>
          <w:rFonts w:cs="TimesNewRomanPSMT"/>
          <w:kern w:val="0"/>
          <w:sz w:val="52"/>
          <w:szCs w:val="52"/>
        </w:rPr>
      </w:pPr>
    </w:p>
    <w:p w14:paraId="1500758D" w14:textId="77777777" w:rsidR="00797A65" w:rsidRPr="00A62711" w:rsidRDefault="00797A65" w:rsidP="00797A65">
      <w:pPr>
        <w:jc w:val="center"/>
        <w:rPr>
          <w:rFonts w:cs="TimesNewRomanPSMT"/>
          <w:kern w:val="0"/>
          <w:sz w:val="40"/>
          <w:szCs w:val="40"/>
        </w:rPr>
      </w:pPr>
      <w:r w:rsidRPr="00A62711">
        <w:rPr>
          <w:rFonts w:cs="TimesNewRomanPSMT"/>
          <w:kern w:val="0"/>
          <w:sz w:val="40"/>
          <w:szCs w:val="40"/>
        </w:rPr>
        <w:t>Name:</w:t>
      </w:r>
      <w:r>
        <w:rPr>
          <w:rFonts w:cs="TimesNewRomanPSMT"/>
          <w:kern w:val="0"/>
          <w:sz w:val="40"/>
          <w:szCs w:val="40"/>
        </w:rPr>
        <w:t xml:space="preserve"> Fazal Ur Rehman Cheema</w:t>
      </w:r>
    </w:p>
    <w:p w14:paraId="337F2745" w14:textId="30125D8E" w:rsidR="00797A65" w:rsidRDefault="00797A65" w:rsidP="00797A65">
      <w:pPr>
        <w:jc w:val="center"/>
        <w:rPr>
          <w:rFonts w:cs="TimesNewRomanPSMT"/>
          <w:kern w:val="0"/>
          <w:sz w:val="40"/>
          <w:szCs w:val="40"/>
        </w:rPr>
      </w:pPr>
      <w:r w:rsidRPr="00A62711">
        <w:rPr>
          <w:rFonts w:cs="TimesNewRomanPSMT"/>
          <w:kern w:val="0"/>
          <w:sz w:val="40"/>
          <w:szCs w:val="40"/>
        </w:rPr>
        <w:t>Student Number:</w:t>
      </w:r>
      <w:r>
        <w:rPr>
          <w:rFonts w:cs="TimesNewRomanPSMT"/>
          <w:kern w:val="0"/>
          <w:sz w:val="40"/>
          <w:szCs w:val="40"/>
        </w:rPr>
        <w:t xml:space="preserve"> 40465466</w:t>
      </w:r>
    </w:p>
    <w:p w14:paraId="363E17A0" w14:textId="77777777" w:rsidR="00797A65" w:rsidRDefault="00797A65" w:rsidP="00797A65">
      <w:pPr>
        <w:jc w:val="center"/>
        <w:rPr>
          <w:rFonts w:cs="TimesNewRomanPSMT"/>
          <w:kern w:val="0"/>
          <w:sz w:val="40"/>
          <w:szCs w:val="40"/>
        </w:rPr>
      </w:pPr>
    </w:p>
    <w:p w14:paraId="051E313A" w14:textId="77777777" w:rsidR="00797A65" w:rsidRDefault="00797A65" w:rsidP="00797A65">
      <w:pPr>
        <w:jc w:val="center"/>
        <w:rPr>
          <w:rFonts w:cs="TimesNewRomanPSMT"/>
          <w:kern w:val="0"/>
          <w:sz w:val="40"/>
          <w:szCs w:val="40"/>
        </w:rPr>
      </w:pPr>
    </w:p>
    <w:p w14:paraId="7B9B054C" w14:textId="77777777" w:rsidR="00797A65" w:rsidRDefault="00797A65" w:rsidP="00797A65">
      <w:pPr>
        <w:jc w:val="center"/>
        <w:rPr>
          <w:rFonts w:cs="TimesNewRomanPSMT"/>
          <w:kern w:val="0"/>
          <w:sz w:val="40"/>
          <w:szCs w:val="40"/>
        </w:rPr>
      </w:pPr>
    </w:p>
    <w:p w14:paraId="4AC8F0D4" w14:textId="5C92BDD1" w:rsidR="00797A65" w:rsidRDefault="00797A65" w:rsidP="00797A65">
      <w:pPr>
        <w:jc w:val="center"/>
        <w:rPr>
          <w:rFonts w:cs="TimesNewRomanPSMT"/>
          <w:kern w:val="0"/>
          <w:sz w:val="40"/>
          <w:szCs w:val="40"/>
        </w:rPr>
      </w:pPr>
      <w:r>
        <w:rPr>
          <w:rFonts w:cs="TimesNewRomanPSMT"/>
          <w:kern w:val="0"/>
          <w:sz w:val="40"/>
          <w:szCs w:val="40"/>
        </w:rPr>
        <w:t xml:space="preserve">Word Count: </w:t>
      </w:r>
      <w:r w:rsidR="00DA1FD8">
        <w:rPr>
          <w:rFonts w:cs="TimesNewRomanPSMT"/>
          <w:kern w:val="0"/>
          <w:sz w:val="40"/>
          <w:szCs w:val="40"/>
        </w:rPr>
        <w:t>2680</w:t>
      </w:r>
    </w:p>
    <w:p w14:paraId="1384B047" w14:textId="77777777" w:rsidR="00DA1FD8" w:rsidRDefault="00DA1FD8" w:rsidP="00797A65">
      <w:pPr>
        <w:jc w:val="center"/>
        <w:rPr>
          <w:rFonts w:cs="TimesNewRomanPSMT"/>
          <w:kern w:val="0"/>
          <w:sz w:val="40"/>
          <w:szCs w:val="40"/>
        </w:rPr>
      </w:pPr>
    </w:p>
    <w:p w14:paraId="05FB2CD1" w14:textId="77777777" w:rsidR="00DA1FD8" w:rsidRDefault="00DA1FD8" w:rsidP="00797A65">
      <w:pPr>
        <w:jc w:val="center"/>
        <w:rPr>
          <w:rFonts w:cs="TimesNewRomanPSMT"/>
          <w:kern w:val="0"/>
          <w:sz w:val="40"/>
          <w:szCs w:val="40"/>
        </w:rPr>
      </w:pPr>
    </w:p>
    <w:p w14:paraId="183F9D76" w14:textId="77777777" w:rsidR="00797A65" w:rsidRDefault="00797A65" w:rsidP="00797A65">
      <w:pPr>
        <w:jc w:val="center"/>
        <w:rPr>
          <w:rFonts w:cs="TimesNewRomanPSMT"/>
          <w:kern w:val="0"/>
          <w:sz w:val="40"/>
          <w:szCs w:val="40"/>
        </w:rPr>
      </w:pPr>
    </w:p>
    <w:p w14:paraId="7DBE1E1F" w14:textId="77777777" w:rsidR="00797A65" w:rsidRDefault="00797A65" w:rsidP="00797A65">
      <w:pPr>
        <w:rPr>
          <w:rFonts w:cs="TimesNewRomanPSMT"/>
          <w:kern w:val="0"/>
          <w:sz w:val="40"/>
          <w:szCs w:val="40"/>
        </w:rPr>
      </w:pPr>
    </w:p>
    <w:p w14:paraId="38A08137" w14:textId="77777777" w:rsidR="00797A65" w:rsidRDefault="00797A65" w:rsidP="00797A65">
      <w:pPr>
        <w:rPr>
          <w:rFonts w:cs="TimesNewRomanPSMT"/>
          <w:kern w:val="0"/>
          <w:sz w:val="40"/>
          <w:szCs w:val="40"/>
        </w:rPr>
      </w:pPr>
    </w:p>
    <w:p w14:paraId="47DB09F4" w14:textId="77777777" w:rsidR="00797A65" w:rsidRDefault="00797A65" w:rsidP="00797A65">
      <w:pPr>
        <w:rPr>
          <w:rFonts w:cs="TimesNewRomanPSMT"/>
          <w:kern w:val="0"/>
          <w:sz w:val="40"/>
          <w:szCs w:val="40"/>
        </w:rPr>
      </w:pPr>
    </w:p>
    <w:p w14:paraId="2776D574" w14:textId="77777777" w:rsidR="00797A65" w:rsidRDefault="00797A65" w:rsidP="00797A65">
      <w:pPr>
        <w:rPr>
          <w:rFonts w:cs="TimesNewRomanPSMT"/>
          <w:kern w:val="0"/>
          <w:sz w:val="40"/>
          <w:szCs w:val="40"/>
        </w:rPr>
      </w:pPr>
    </w:p>
    <w:p w14:paraId="121136CB" w14:textId="77777777" w:rsidR="00797A65" w:rsidRDefault="00797A65" w:rsidP="00797A65">
      <w:pPr>
        <w:rPr>
          <w:rFonts w:cs="TimesNewRomanPSMT"/>
          <w:kern w:val="0"/>
          <w:sz w:val="40"/>
          <w:szCs w:val="40"/>
        </w:rPr>
      </w:pPr>
    </w:p>
    <w:p w14:paraId="0FD4B8B5" w14:textId="77777777" w:rsidR="00797A65" w:rsidRDefault="00797A65" w:rsidP="00797A65">
      <w:pPr>
        <w:rPr>
          <w:rFonts w:cs="TimesNewRomanPSMT"/>
          <w:kern w:val="0"/>
          <w:sz w:val="40"/>
          <w:szCs w:val="40"/>
        </w:rPr>
      </w:pPr>
    </w:p>
    <w:p w14:paraId="26622996" w14:textId="77777777" w:rsidR="00797A65" w:rsidRDefault="00797A65" w:rsidP="00797A65">
      <w:pPr>
        <w:rPr>
          <w:rFonts w:cs="TimesNewRomanPSMT"/>
          <w:kern w:val="0"/>
          <w:sz w:val="40"/>
          <w:szCs w:val="40"/>
        </w:rPr>
      </w:pPr>
    </w:p>
    <w:p w14:paraId="65A79B9A" w14:textId="77777777" w:rsidR="00797A65" w:rsidRDefault="00797A65" w:rsidP="00797A65">
      <w:pPr>
        <w:rPr>
          <w:rFonts w:cs="TimesNewRomanPSMT"/>
          <w:kern w:val="0"/>
          <w:sz w:val="40"/>
          <w:szCs w:val="40"/>
        </w:rPr>
      </w:pPr>
    </w:p>
    <w:sdt>
      <w:sdtPr>
        <w:rPr>
          <w:rFonts w:asciiTheme="minorHAnsi" w:eastAsiaTheme="minorHAnsi" w:hAnsiTheme="minorHAnsi" w:cstheme="minorBidi"/>
          <w:b w:val="0"/>
          <w:bCs w:val="0"/>
          <w:color w:val="auto"/>
          <w:kern w:val="2"/>
          <w:sz w:val="22"/>
          <w:szCs w:val="22"/>
          <w:lang w:val="en-GB"/>
          <w14:ligatures w14:val="standardContextual"/>
        </w:rPr>
        <w:id w:val="-496031549"/>
        <w:docPartObj>
          <w:docPartGallery w:val="Table of Contents"/>
          <w:docPartUnique/>
        </w:docPartObj>
      </w:sdtPr>
      <w:sdtEndPr>
        <w:rPr>
          <w:noProof/>
        </w:rPr>
      </w:sdtEndPr>
      <w:sdtContent>
        <w:p w14:paraId="1EE3F933" w14:textId="74D1CB65" w:rsidR="00DA1FD8" w:rsidRDefault="00DA1FD8">
          <w:pPr>
            <w:pStyle w:val="TOCHeading"/>
          </w:pPr>
          <w:r>
            <w:t>Table of Contents</w:t>
          </w:r>
        </w:p>
        <w:p w14:paraId="65F6987A" w14:textId="64754455" w:rsidR="00DA1FD8" w:rsidRDefault="00DA1FD8">
          <w:pPr>
            <w:pStyle w:val="TOC1"/>
            <w:tabs>
              <w:tab w:val="right" w:leader="dot" w:pos="9016"/>
            </w:tabs>
            <w:rPr>
              <w:rFonts w:eastAsiaTheme="minorEastAsia" w:cstheme="minorBidi"/>
              <w:b w:val="0"/>
              <w:bCs w:val="0"/>
              <w:i w:val="0"/>
              <w:iCs w:val="0"/>
              <w:noProof/>
              <w:szCs w:val="24"/>
              <w:lang w:eastAsia="en-GB"/>
            </w:rPr>
          </w:pPr>
          <w:r>
            <w:rPr>
              <w:b w:val="0"/>
              <w:bCs w:val="0"/>
            </w:rPr>
            <w:fldChar w:fldCharType="begin"/>
          </w:r>
          <w:r>
            <w:instrText xml:space="preserve"> TOC \o "1-3" \h \z \u </w:instrText>
          </w:r>
          <w:r>
            <w:rPr>
              <w:b w:val="0"/>
              <w:bCs w:val="0"/>
            </w:rPr>
            <w:fldChar w:fldCharType="separate"/>
          </w:r>
          <w:hyperlink w:anchor="_Toc217079914" w:history="1">
            <w:r w:rsidRPr="007B125F">
              <w:rPr>
                <w:rStyle w:val="Hyperlink"/>
                <w:rFonts w:eastAsia="Times New Roman"/>
                <w:noProof/>
                <w:lang w:eastAsia="en-GB"/>
              </w:rPr>
              <w:t>Descriptive Analysis</w:t>
            </w:r>
            <w:r>
              <w:rPr>
                <w:noProof/>
                <w:webHidden/>
              </w:rPr>
              <w:tab/>
            </w:r>
            <w:r>
              <w:rPr>
                <w:noProof/>
                <w:webHidden/>
              </w:rPr>
              <w:fldChar w:fldCharType="begin"/>
            </w:r>
            <w:r>
              <w:rPr>
                <w:noProof/>
                <w:webHidden/>
              </w:rPr>
              <w:instrText xml:space="preserve"> PAGEREF _Toc217079914 \h </w:instrText>
            </w:r>
            <w:r>
              <w:rPr>
                <w:noProof/>
                <w:webHidden/>
              </w:rPr>
            </w:r>
            <w:r>
              <w:rPr>
                <w:noProof/>
                <w:webHidden/>
              </w:rPr>
              <w:fldChar w:fldCharType="separate"/>
            </w:r>
            <w:r>
              <w:rPr>
                <w:noProof/>
                <w:webHidden/>
              </w:rPr>
              <w:t>3</w:t>
            </w:r>
            <w:r>
              <w:rPr>
                <w:noProof/>
                <w:webHidden/>
              </w:rPr>
              <w:fldChar w:fldCharType="end"/>
            </w:r>
          </w:hyperlink>
        </w:p>
        <w:p w14:paraId="404473A3" w14:textId="73315625" w:rsidR="00DA1FD8" w:rsidRDefault="00DA1FD8">
          <w:pPr>
            <w:pStyle w:val="TOC1"/>
            <w:tabs>
              <w:tab w:val="right" w:leader="dot" w:pos="9016"/>
            </w:tabs>
            <w:rPr>
              <w:rFonts w:eastAsiaTheme="minorEastAsia" w:cstheme="minorBidi"/>
              <w:b w:val="0"/>
              <w:bCs w:val="0"/>
              <w:i w:val="0"/>
              <w:iCs w:val="0"/>
              <w:noProof/>
              <w:szCs w:val="24"/>
              <w:lang w:eastAsia="en-GB"/>
            </w:rPr>
          </w:pPr>
          <w:hyperlink w:anchor="_Toc217079915" w:history="1">
            <w:r w:rsidRPr="007B125F">
              <w:rPr>
                <w:rStyle w:val="Hyperlink"/>
                <w:rFonts w:eastAsia="Times New Roman"/>
                <w:noProof/>
                <w:lang w:eastAsia="en-GB"/>
              </w:rPr>
              <w:t>PART 2</w:t>
            </w:r>
            <w:r>
              <w:rPr>
                <w:noProof/>
                <w:webHidden/>
              </w:rPr>
              <w:tab/>
            </w:r>
            <w:r>
              <w:rPr>
                <w:noProof/>
                <w:webHidden/>
              </w:rPr>
              <w:fldChar w:fldCharType="begin"/>
            </w:r>
            <w:r>
              <w:rPr>
                <w:noProof/>
                <w:webHidden/>
              </w:rPr>
              <w:instrText xml:space="preserve"> PAGEREF _Toc217079915 \h </w:instrText>
            </w:r>
            <w:r>
              <w:rPr>
                <w:noProof/>
                <w:webHidden/>
              </w:rPr>
            </w:r>
            <w:r>
              <w:rPr>
                <w:noProof/>
                <w:webHidden/>
              </w:rPr>
              <w:fldChar w:fldCharType="separate"/>
            </w:r>
            <w:r>
              <w:rPr>
                <w:noProof/>
                <w:webHidden/>
              </w:rPr>
              <w:t>4</w:t>
            </w:r>
            <w:r>
              <w:rPr>
                <w:noProof/>
                <w:webHidden/>
              </w:rPr>
              <w:fldChar w:fldCharType="end"/>
            </w:r>
          </w:hyperlink>
        </w:p>
        <w:p w14:paraId="1D14FC99" w14:textId="38AAB408" w:rsidR="00DA1FD8" w:rsidRDefault="00DA1FD8">
          <w:pPr>
            <w:pStyle w:val="TOC2"/>
            <w:tabs>
              <w:tab w:val="right" w:leader="dot" w:pos="9016"/>
            </w:tabs>
            <w:rPr>
              <w:rFonts w:eastAsiaTheme="minorEastAsia" w:cstheme="minorBidi"/>
              <w:b w:val="0"/>
              <w:bCs w:val="0"/>
              <w:noProof/>
              <w:sz w:val="24"/>
              <w:szCs w:val="24"/>
              <w:lang w:eastAsia="en-GB"/>
            </w:rPr>
          </w:pPr>
          <w:hyperlink w:anchor="_Toc217079916" w:history="1">
            <w:r w:rsidRPr="007B125F">
              <w:rPr>
                <w:rStyle w:val="Hyperlink"/>
                <w:noProof/>
                <w:lang w:eastAsia="en-GB"/>
              </w:rPr>
              <w:t>Introduction</w:t>
            </w:r>
            <w:r>
              <w:rPr>
                <w:noProof/>
                <w:webHidden/>
              </w:rPr>
              <w:tab/>
            </w:r>
            <w:r>
              <w:rPr>
                <w:noProof/>
                <w:webHidden/>
              </w:rPr>
              <w:fldChar w:fldCharType="begin"/>
            </w:r>
            <w:r>
              <w:rPr>
                <w:noProof/>
                <w:webHidden/>
              </w:rPr>
              <w:instrText xml:space="preserve"> PAGEREF _Toc217079916 \h </w:instrText>
            </w:r>
            <w:r>
              <w:rPr>
                <w:noProof/>
                <w:webHidden/>
              </w:rPr>
            </w:r>
            <w:r>
              <w:rPr>
                <w:noProof/>
                <w:webHidden/>
              </w:rPr>
              <w:fldChar w:fldCharType="separate"/>
            </w:r>
            <w:r>
              <w:rPr>
                <w:noProof/>
                <w:webHidden/>
              </w:rPr>
              <w:t>4</w:t>
            </w:r>
            <w:r>
              <w:rPr>
                <w:noProof/>
                <w:webHidden/>
              </w:rPr>
              <w:fldChar w:fldCharType="end"/>
            </w:r>
          </w:hyperlink>
        </w:p>
        <w:p w14:paraId="492B3EE4" w14:textId="5655FCCA" w:rsidR="00DA1FD8" w:rsidRDefault="00DA1FD8">
          <w:pPr>
            <w:pStyle w:val="TOC2"/>
            <w:tabs>
              <w:tab w:val="right" w:leader="dot" w:pos="9016"/>
            </w:tabs>
            <w:rPr>
              <w:rFonts w:eastAsiaTheme="minorEastAsia" w:cstheme="minorBidi"/>
              <w:b w:val="0"/>
              <w:bCs w:val="0"/>
              <w:noProof/>
              <w:sz w:val="24"/>
              <w:szCs w:val="24"/>
              <w:lang w:eastAsia="en-GB"/>
            </w:rPr>
          </w:pPr>
          <w:hyperlink w:anchor="_Toc217079917" w:history="1">
            <w:r w:rsidRPr="007B125F">
              <w:rPr>
                <w:rStyle w:val="Hyperlink"/>
                <w:rFonts w:eastAsia="Times New Roman"/>
                <w:noProof/>
                <w:lang w:eastAsia="en-GB"/>
              </w:rPr>
              <w:t>Data understanding and preparation</w:t>
            </w:r>
            <w:r>
              <w:rPr>
                <w:noProof/>
                <w:webHidden/>
              </w:rPr>
              <w:tab/>
            </w:r>
            <w:r>
              <w:rPr>
                <w:noProof/>
                <w:webHidden/>
              </w:rPr>
              <w:fldChar w:fldCharType="begin"/>
            </w:r>
            <w:r>
              <w:rPr>
                <w:noProof/>
                <w:webHidden/>
              </w:rPr>
              <w:instrText xml:space="preserve"> PAGEREF _Toc217079917 \h </w:instrText>
            </w:r>
            <w:r>
              <w:rPr>
                <w:noProof/>
                <w:webHidden/>
              </w:rPr>
            </w:r>
            <w:r>
              <w:rPr>
                <w:noProof/>
                <w:webHidden/>
              </w:rPr>
              <w:fldChar w:fldCharType="separate"/>
            </w:r>
            <w:r>
              <w:rPr>
                <w:noProof/>
                <w:webHidden/>
              </w:rPr>
              <w:t>5</w:t>
            </w:r>
            <w:r>
              <w:rPr>
                <w:noProof/>
                <w:webHidden/>
              </w:rPr>
              <w:fldChar w:fldCharType="end"/>
            </w:r>
          </w:hyperlink>
        </w:p>
        <w:p w14:paraId="1B188B58" w14:textId="2B74FE06" w:rsidR="00DA1FD8" w:rsidRDefault="00DA1FD8">
          <w:pPr>
            <w:pStyle w:val="TOC2"/>
            <w:tabs>
              <w:tab w:val="right" w:leader="dot" w:pos="9016"/>
            </w:tabs>
            <w:rPr>
              <w:rFonts w:eastAsiaTheme="minorEastAsia" w:cstheme="minorBidi"/>
              <w:b w:val="0"/>
              <w:bCs w:val="0"/>
              <w:noProof/>
              <w:sz w:val="24"/>
              <w:szCs w:val="24"/>
              <w:lang w:eastAsia="en-GB"/>
            </w:rPr>
          </w:pPr>
          <w:hyperlink w:anchor="_Toc217079918" w:history="1">
            <w:r w:rsidRPr="007B125F">
              <w:rPr>
                <w:rStyle w:val="Hyperlink"/>
                <w:rFonts w:eastAsia="Times New Roman"/>
                <w:noProof/>
                <w:lang w:eastAsia="en-GB"/>
              </w:rPr>
              <w:t>Model building, validation and interpretation of results</w:t>
            </w:r>
            <w:r>
              <w:rPr>
                <w:noProof/>
                <w:webHidden/>
              </w:rPr>
              <w:tab/>
            </w:r>
            <w:r>
              <w:rPr>
                <w:noProof/>
                <w:webHidden/>
              </w:rPr>
              <w:fldChar w:fldCharType="begin"/>
            </w:r>
            <w:r>
              <w:rPr>
                <w:noProof/>
                <w:webHidden/>
              </w:rPr>
              <w:instrText xml:space="preserve"> PAGEREF _Toc217079918 \h </w:instrText>
            </w:r>
            <w:r>
              <w:rPr>
                <w:noProof/>
                <w:webHidden/>
              </w:rPr>
            </w:r>
            <w:r>
              <w:rPr>
                <w:noProof/>
                <w:webHidden/>
              </w:rPr>
              <w:fldChar w:fldCharType="separate"/>
            </w:r>
            <w:r>
              <w:rPr>
                <w:noProof/>
                <w:webHidden/>
              </w:rPr>
              <w:t>6</w:t>
            </w:r>
            <w:r>
              <w:rPr>
                <w:noProof/>
                <w:webHidden/>
              </w:rPr>
              <w:fldChar w:fldCharType="end"/>
            </w:r>
          </w:hyperlink>
        </w:p>
        <w:p w14:paraId="17A672A2" w14:textId="77A639BD" w:rsidR="00DA1FD8" w:rsidRDefault="00DA1FD8">
          <w:pPr>
            <w:pStyle w:val="TOC2"/>
            <w:tabs>
              <w:tab w:val="right" w:leader="dot" w:pos="9016"/>
            </w:tabs>
            <w:rPr>
              <w:rFonts w:eastAsiaTheme="minorEastAsia" w:cstheme="minorBidi"/>
              <w:b w:val="0"/>
              <w:bCs w:val="0"/>
              <w:noProof/>
              <w:sz w:val="24"/>
              <w:szCs w:val="24"/>
              <w:lang w:eastAsia="en-GB"/>
            </w:rPr>
          </w:pPr>
          <w:hyperlink w:anchor="_Toc217079919" w:history="1">
            <w:r w:rsidRPr="007B125F">
              <w:rPr>
                <w:rStyle w:val="Hyperlink"/>
                <w:rFonts w:eastAsia="Times New Roman"/>
                <w:noProof/>
                <w:lang w:eastAsia="en-GB"/>
              </w:rPr>
              <w:t>Recommendations for Management</w:t>
            </w:r>
            <w:r>
              <w:rPr>
                <w:noProof/>
                <w:webHidden/>
              </w:rPr>
              <w:tab/>
            </w:r>
            <w:r>
              <w:rPr>
                <w:noProof/>
                <w:webHidden/>
              </w:rPr>
              <w:fldChar w:fldCharType="begin"/>
            </w:r>
            <w:r>
              <w:rPr>
                <w:noProof/>
                <w:webHidden/>
              </w:rPr>
              <w:instrText xml:space="preserve"> PAGEREF _Toc217079919 \h </w:instrText>
            </w:r>
            <w:r>
              <w:rPr>
                <w:noProof/>
                <w:webHidden/>
              </w:rPr>
            </w:r>
            <w:r>
              <w:rPr>
                <w:noProof/>
                <w:webHidden/>
              </w:rPr>
              <w:fldChar w:fldCharType="separate"/>
            </w:r>
            <w:r>
              <w:rPr>
                <w:noProof/>
                <w:webHidden/>
              </w:rPr>
              <w:t>7</w:t>
            </w:r>
            <w:r>
              <w:rPr>
                <w:noProof/>
                <w:webHidden/>
              </w:rPr>
              <w:fldChar w:fldCharType="end"/>
            </w:r>
          </w:hyperlink>
        </w:p>
        <w:p w14:paraId="67886526" w14:textId="4AC6A889" w:rsidR="00DA1FD8" w:rsidRDefault="00DA1FD8">
          <w:pPr>
            <w:pStyle w:val="TOC1"/>
            <w:tabs>
              <w:tab w:val="right" w:leader="dot" w:pos="9016"/>
            </w:tabs>
            <w:rPr>
              <w:rFonts w:eastAsiaTheme="minorEastAsia" w:cstheme="minorBidi"/>
              <w:b w:val="0"/>
              <w:bCs w:val="0"/>
              <w:i w:val="0"/>
              <w:iCs w:val="0"/>
              <w:noProof/>
              <w:szCs w:val="24"/>
              <w:lang w:eastAsia="en-GB"/>
            </w:rPr>
          </w:pPr>
          <w:hyperlink w:anchor="_Toc217079920" w:history="1">
            <w:r w:rsidRPr="007B125F">
              <w:rPr>
                <w:rStyle w:val="Hyperlink"/>
                <w:noProof/>
                <w:lang w:eastAsia="en-GB"/>
              </w:rPr>
              <w:t>Declarations on AI Use</w:t>
            </w:r>
            <w:r>
              <w:rPr>
                <w:noProof/>
                <w:webHidden/>
              </w:rPr>
              <w:tab/>
            </w:r>
            <w:r>
              <w:rPr>
                <w:noProof/>
                <w:webHidden/>
              </w:rPr>
              <w:fldChar w:fldCharType="begin"/>
            </w:r>
            <w:r>
              <w:rPr>
                <w:noProof/>
                <w:webHidden/>
              </w:rPr>
              <w:instrText xml:space="preserve"> PAGEREF _Toc217079920 \h </w:instrText>
            </w:r>
            <w:r>
              <w:rPr>
                <w:noProof/>
                <w:webHidden/>
              </w:rPr>
            </w:r>
            <w:r>
              <w:rPr>
                <w:noProof/>
                <w:webHidden/>
              </w:rPr>
              <w:fldChar w:fldCharType="separate"/>
            </w:r>
            <w:r>
              <w:rPr>
                <w:noProof/>
                <w:webHidden/>
              </w:rPr>
              <w:t>8</w:t>
            </w:r>
            <w:r>
              <w:rPr>
                <w:noProof/>
                <w:webHidden/>
              </w:rPr>
              <w:fldChar w:fldCharType="end"/>
            </w:r>
          </w:hyperlink>
        </w:p>
        <w:p w14:paraId="769D5AC3" w14:textId="243625A1" w:rsidR="00DA1FD8" w:rsidRDefault="00DA1FD8">
          <w:pPr>
            <w:pStyle w:val="TOC1"/>
            <w:tabs>
              <w:tab w:val="right" w:leader="dot" w:pos="9016"/>
            </w:tabs>
            <w:rPr>
              <w:rFonts w:eastAsiaTheme="minorEastAsia" w:cstheme="minorBidi"/>
              <w:b w:val="0"/>
              <w:bCs w:val="0"/>
              <w:i w:val="0"/>
              <w:iCs w:val="0"/>
              <w:noProof/>
              <w:szCs w:val="24"/>
              <w:lang w:eastAsia="en-GB"/>
            </w:rPr>
          </w:pPr>
          <w:hyperlink w:anchor="_Toc217079921" w:history="1">
            <w:r w:rsidRPr="007B125F">
              <w:rPr>
                <w:rStyle w:val="Hyperlink"/>
                <w:noProof/>
                <w:lang w:eastAsia="en-GB"/>
              </w:rPr>
              <w:t>References.</w:t>
            </w:r>
            <w:r>
              <w:rPr>
                <w:noProof/>
                <w:webHidden/>
              </w:rPr>
              <w:tab/>
            </w:r>
            <w:r>
              <w:rPr>
                <w:noProof/>
                <w:webHidden/>
              </w:rPr>
              <w:fldChar w:fldCharType="begin"/>
            </w:r>
            <w:r>
              <w:rPr>
                <w:noProof/>
                <w:webHidden/>
              </w:rPr>
              <w:instrText xml:space="preserve"> PAGEREF _Toc217079921 \h </w:instrText>
            </w:r>
            <w:r>
              <w:rPr>
                <w:noProof/>
                <w:webHidden/>
              </w:rPr>
            </w:r>
            <w:r>
              <w:rPr>
                <w:noProof/>
                <w:webHidden/>
              </w:rPr>
              <w:fldChar w:fldCharType="separate"/>
            </w:r>
            <w:r>
              <w:rPr>
                <w:noProof/>
                <w:webHidden/>
              </w:rPr>
              <w:t>9</w:t>
            </w:r>
            <w:r>
              <w:rPr>
                <w:noProof/>
                <w:webHidden/>
              </w:rPr>
              <w:fldChar w:fldCharType="end"/>
            </w:r>
          </w:hyperlink>
        </w:p>
        <w:p w14:paraId="2ADBCCDB" w14:textId="0DAFE3A1" w:rsidR="00DA1FD8" w:rsidRDefault="00DA1FD8">
          <w:r>
            <w:rPr>
              <w:b/>
              <w:bCs/>
              <w:noProof/>
            </w:rPr>
            <w:fldChar w:fldCharType="end"/>
          </w:r>
        </w:p>
      </w:sdtContent>
    </w:sdt>
    <w:p w14:paraId="04FF7C8D" w14:textId="77777777" w:rsidR="00797A65" w:rsidRDefault="00797A65" w:rsidP="00797A65">
      <w:pPr>
        <w:rPr>
          <w:rFonts w:cs="TimesNewRomanPSMT"/>
          <w:kern w:val="0"/>
          <w:sz w:val="40"/>
          <w:szCs w:val="40"/>
        </w:rPr>
      </w:pPr>
    </w:p>
    <w:p w14:paraId="768CD4FA" w14:textId="77777777" w:rsidR="00DA1FD8" w:rsidRDefault="00DA1FD8" w:rsidP="00797A65">
      <w:pPr>
        <w:rPr>
          <w:rFonts w:cs="TimesNewRomanPSMT"/>
          <w:kern w:val="0"/>
          <w:sz w:val="40"/>
          <w:szCs w:val="40"/>
        </w:rPr>
      </w:pPr>
    </w:p>
    <w:p w14:paraId="332646B9" w14:textId="77777777" w:rsidR="00DA1FD8" w:rsidRDefault="00DA1FD8" w:rsidP="00797A65">
      <w:pPr>
        <w:rPr>
          <w:rFonts w:cs="TimesNewRomanPSMT"/>
          <w:kern w:val="0"/>
          <w:sz w:val="40"/>
          <w:szCs w:val="40"/>
        </w:rPr>
      </w:pPr>
    </w:p>
    <w:p w14:paraId="22A9A2EC" w14:textId="77777777" w:rsidR="00DA1FD8" w:rsidRDefault="00DA1FD8" w:rsidP="00797A65">
      <w:pPr>
        <w:rPr>
          <w:rFonts w:cs="TimesNewRomanPSMT"/>
          <w:kern w:val="0"/>
          <w:sz w:val="40"/>
          <w:szCs w:val="40"/>
        </w:rPr>
      </w:pPr>
    </w:p>
    <w:p w14:paraId="72F78477" w14:textId="77777777" w:rsidR="00DA1FD8" w:rsidRDefault="00DA1FD8" w:rsidP="00797A65">
      <w:pPr>
        <w:rPr>
          <w:rFonts w:cs="TimesNewRomanPSMT"/>
          <w:kern w:val="0"/>
          <w:sz w:val="40"/>
          <w:szCs w:val="40"/>
        </w:rPr>
      </w:pPr>
    </w:p>
    <w:p w14:paraId="014FCBD3" w14:textId="77777777" w:rsidR="00DA1FD8" w:rsidRDefault="00DA1FD8" w:rsidP="00797A65">
      <w:pPr>
        <w:rPr>
          <w:rFonts w:cs="TimesNewRomanPSMT"/>
          <w:kern w:val="0"/>
          <w:sz w:val="40"/>
          <w:szCs w:val="40"/>
        </w:rPr>
      </w:pPr>
    </w:p>
    <w:p w14:paraId="750AC314" w14:textId="77777777" w:rsidR="00DA1FD8" w:rsidRDefault="00DA1FD8" w:rsidP="00797A65">
      <w:pPr>
        <w:rPr>
          <w:rFonts w:cs="TimesNewRomanPSMT"/>
          <w:kern w:val="0"/>
          <w:sz w:val="40"/>
          <w:szCs w:val="40"/>
        </w:rPr>
      </w:pPr>
    </w:p>
    <w:p w14:paraId="243E0AD3" w14:textId="77777777" w:rsidR="00DA1FD8" w:rsidRDefault="00DA1FD8" w:rsidP="00797A65">
      <w:pPr>
        <w:rPr>
          <w:rFonts w:cs="TimesNewRomanPSMT"/>
          <w:kern w:val="0"/>
          <w:sz w:val="40"/>
          <w:szCs w:val="40"/>
        </w:rPr>
      </w:pPr>
    </w:p>
    <w:p w14:paraId="4AB0D6A5" w14:textId="77777777" w:rsidR="00DA1FD8" w:rsidRDefault="00DA1FD8" w:rsidP="00797A65">
      <w:pPr>
        <w:rPr>
          <w:rFonts w:cs="TimesNewRomanPSMT"/>
          <w:kern w:val="0"/>
          <w:sz w:val="40"/>
          <w:szCs w:val="40"/>
        </w:rPr>
      </w:pPr>
    </w:p>
    <w:p w14:paraId="6A1164F6" w14:textId="77777777" w:rsidR="00DA1FD8" w:rsidRDefault="00DA1FD8" w:rsidP="00797A65">
      <w:pPr>
        <w:rPr>
          <w:rFonts w:cs="TimesNewRomanPSMT"/>
          <w:kern w:val="0"/>
          <w:sz w:val="40"/>
          <w:szCs w:val="40"/>
        </w:rPr>
      </w:pPr>
    </w:p>
    <w:p w14:paraId="1C02914D" w14:textId="77777777" w:rsidR="00DA1FD8" w:rsidRDefault="00DA1FD8" w:rsidP="00797A65">
      <w:pPr>
        <w:rPr>
          <w:rFonts w:cs="TimesNewRomanPSMT"/>
          <w:kern w:val="0"/>
          <w:sz w:val="40"/>
          <w:szCs w:val="40"/>
        </w:rPr>
      </w:pPr>
    </w:p>
    <w:p w14:paraId="217AA7E1" w14:textId="77777777" w:rsidR="00DA1FD8" w:rsidRDefault="00DA1FD8" w:rsidP="00797A65">
      <w:pPr>
        <w:rPr>
          <w:rFonts w:cs="TimesNewRomanPSMT"/>
          <w:kern w:val="0"/>
          <w:sz w:val="40"/>
          <w:szCs w:val="40"/>
        </w:rPr>
      </w:pPr>
    </w:p>
    <w:p w14:paraId="4F1885E4" w14:textId="77777777" w:rsidR="00DA1FD8" w:rsidRDefault="00DA1FD8" w:rsidP="00797A65">
      <w:pPr>
        <w:rPr>
          <w:rFonts w:cs="TimesNewRomanPSMT"/>
          <w:kern w:val="0"/>
          <w:sz w:val="40"/>
          <w:szCs w:val="40"/>
        </w:rPr>
      </w:pPr>
    </w:p>
    <w:p w14:paraId="33FCFB01" w14:textId="77777777" w:rsidR="00DA1FD8" w:rsidRDefault="00DA1FD8" w:rsidP="00797A65">
      <w:pPr>
        <w:rPr>
          <w:rFonts w:cs="TimesNewRomanPSMT"/>
          <w:kern w:val="0"/>
          <w:sz w:val="40"/>
          <w:szCs w:val="40"/>
        </w:rPr>
      </w:pPr>
    </w:p>
    <w:p w14:paraId="52039636" w14:textId="3E321465" w:rsidR="00DA5405" w:rsidRDefault="008925B5" w:rsidP="00DA5405">
      <w:pPr>
        <w:pStyle w:val="Heading1"/>
        <w:rPr>
          <w:rFonts w:eastAsia="Times New Roman"/>
          <w:lang w:eastAsia="en-GB"/>
        </w:rPr>
      </w:pPr>
      <w:bookmarkStart w:id="0" w:name="_Toc217079914"/>
      <w:r>
        <w:rPr>
          <w:rFonts w:eastAsia="Times New Roman"/>
          <w:lang w:eastAsia="en-GB"/>
        </w:rPr>
        <w:lastRenderedPageBreak/>
        <w:t>Descriptive Analysis</w:t>
      </w:r>
      <w:bookmarkEnd w:id="0"/>
      <w:r>
        <w:rPr>
          <w:rFonts w:eastAsia="Times New Roman"/>
          <w:lang w:eastAsia="en-GB"/>
        </w:rPr>
        <w:t xml:space="preserve"> </w:t>
      </w:r>
    </w:p>
    <w:p w14:paraId="04677227" w14:textId="77777777" w:rsidR="00DA5405" w:rsidRDefault="00DA5405" w:rsidP="00DA5405">
      <w:pPr>
        <w:spacing w:after="0" w:line="240" w:lineRule="auto"/>
        <w:rPr>
          <w:rFonts w:ascii="Times New Roman" w:eastAsia="Times New Roman" w:hAnsi="Times New Roman" w:cs="Times New Roman"/>
          <w:color w:val="000000"/>
          <w:kern w:val="0"/>
          <w:sz w:val="24"/>
          <w:szCs w:val="24"/>
          <w:lang w:eastAsia="en-GB"/>
          <w14:ligatures w14:val="none"/>
        </w:rPr>
      </w:pPr>
    </w:p>
    <w:p w14:paraId="0B792A04" w14:textId="255892C7" w:rsidR="00DA5405" w:rsidRDefault="00DA5405" w:rsidP="00DA5405">
      <w:pPr>
        <w:spacing w:after="0" w:line="240" w:lineRule="auto"/>
        <w:rPr>
          <w:rFonts w:ascii="Times New Roman" w:eastAsia="Times New Roman" w:hAnsi="Times New Roman" w:cs="Times New Roman"/>
          <w:color w:val="000000"/>
          <w:kern w:val="0"/>
          <w:sz w:val="24"/>
          <w:szCs w:val="24"/>
          <w:lang w:eastAsia="en-GB"/>
          <w14:ligatures w14:val="none"/>
        </w:rPr>
      </w:pPr>
      <w:r w:rsidRPr="00DA5405">
        <w:rPr>
          <w:rFonts w:ascii="Times New Roman" w:eastAsia="Times New Roman" w:hAnsi="Times New Roman" w:cs="Times New Roman"/>
          <w:color w:val="000000"/>
          <w:kern w:val="0"/>
          <w:sz w:val="24"/>
          <w:szCs w:val="24"/>
          <w:lang w:eastAsia="en-GB"/>
          <w14:ligatures w14:val="none"/>
        </w:rPr>
        <w:t>The dataset provides a comprehensive overview of employee characteristics within a pharmaceutical organisation, with the primary objective of identifying patterns in employee attrition. It encompasses demographic information, job attributes, working conditions, and employee perceptions, alongside a binary variable indicating whether an employee has left ('Yes') or remained ('No'). Attrition is conceptualised as a categorical outcome, serving as the foundation for both descriptive and predictive analyses. Preliminary examination of the data structure reveals a substantial number of employee records, each corresponding to an individual employee at a specific point in time. The variables are organised into several broad categories: personal demographics (including age and gender), organisational attributes (such as department, job role, and years at the company), workload-related variables (overtime, weekend work, years in role), and attitudinal measures (job satisfaction). This comprehensive scope enables a holistic analysis of attrition, considering it not only as a binary outcome but as a phenomenon influenced by multiple interacting factors. Analysis of the overall distribution of attrition indicates that most employees have remained with the organisation, suggesting that retention predominates at the aggregate level. Nevertheless, the existence of a significant minority of employees who have left underscores that attrition remains a relevant concern. Analytically, this imbalance between 'No' and 'Yes' attrition outcomes is noteworthy, as it reflects a realistic organisational context in which turnover is not predominant but remains strategically important.</w:t>
      </w:r>
    </w:p>
    <w:p w14:paraId="67114C53" w14:textId="77777777" w:rsidR="00DA5405" w:rsidRDefault="00DA5405" w:rsidP="00DA5405">
      <w:pPr>
        <w:spacing w:after="0" w:line="240" w:lineRule="auto"/>
        <w:rPr>
          <w:rFonts w:ascii="Times New Roman" w:eastAsia="Times New Roman" w:hAnsi="Times New Roman" w:cs="Times New Roman"/>
          <w:color w:val="000000"/>
          <w:kern w:val="0"/>
          <w:sz w:val="24"/>
          <w:szCs w:val="24"/>
          <w:lang w:eastAsia="en-GB"/>
          <w14:ligatures w14:val="none"/>
        </w:rPr>
      </w:pPr>
    </w:p>
    <w:p w14:paraId="261D3E1B" w14:textId="77777777" w:rsidR="00DA5405" w:rsidRDefault="00DA5405" w:rsidP="00DA5405">
      <w:pPr>
        <w:spacing w:after="0" w:line="240" w:lineRule="auto"/>
        <w:rPr>
          <w:rFonts w:ascii="Times New Roman" w:eastAsia="Times New Roman" w:hAnsi="Times New Roman" w:cs="Times New Roman"/>
          <w:color w:val="000000"/>
          <w:kern w:val="0"/>
          <w:sz w:val="24"/>
          <w:szCs w:val="24"/>
          <w:lang w:eastAsia="en-GB"/>
          <w14:ligatures w14:val="none"/>
        </w:rPr>
      </w:pPr>
    </w:p>
    <w:p w14:paraId="01260938" w14:textId="4066D81D" w:rsidR="00DA5405" w:rsidRDefault="00DA5405" w:rsidP="00DA5405">
      <w:pPr>
        <w:spacing w:after="0" w:line="240" w:lineRule="auto"/>
        <w:rPr>
          <w:rFonts w:ascii="Times New Roman" w:eastAsia="Times New Roman" w:hAnsi="Times New Roman" w:cs="Times New Roman"/>
          <w:color w:val="000000"/>
          <w:kern w:val="0"/>
          <w:sz w:val="24"/>
          <w:szCs w:val="24"/>
          <w:lang w:eastAsia="en-GB"/>
          <w14:ligatures w14:val="none"/>
        </w:rPr>
      </w:pPr>
      <w:r w:rsidRPr="00DA5405">
        <w:rPr>
          <w:rFonts w:ascii="Times New Roman" w:eastAsia="Times New Roman" w:hAnsi="Times New Roman" w:cs="Times New Roman"/>
          <w:color w:val="000000"/>
          <w:kern w:val="0"/>
          <w:sz w:val="24"/>
          <w:szCs w:val="24"/>
          <w:lang w:eastAsia="en-GB"/>
          <w14:ligatures w14:val="none"/>
        </w:rPr>
        <w:t xml:space="preserve">Examination of workforce composition reveals distinct concentrations across departments and job roles. The largest proportion of employees occupy Sales-related positions, particularly as Sales Executives, followed by a substantial presence in Research and Development. This distribution indicates that the organisation's core operations are primarily focused on commercial activity and scientific research, consistent with industry norms for pharmaceutical companies. Other departments, including Human Resources, Manufacturing, and managerial roles, are represented to a lesser extent. This uneven departmental distribution is a critical consideration when interpreting attrition patterns. Departments with larger headcounts contribute more to overall attrition figures, yet they may also encounter unique working conditions and performance expectations. For instance, Sales roles are typically target-driven and performance-intensive, whereas Research and Development positions often involve extended project timelines, technical complexity, and sustained workloads. These contextual distinctions, evident in the data, provide a framework for understanding the uneven distribution of attrition across the organisation. Tenure-related variables offer additional insight into workforce dynamics. The data demonstrates variation in the duration employees have spent both within the organisation and in their current roles. On average, employees who remain have longer tenures compared to those who have left. This pattern indicates that attrition is more prevalent among employees with shorter tenure, particularly those in the early stages of their roles or organisational lifecycle. These findings align with the notion that early role fit, expectations, and adjustment periods are significant factors in employee retention. Workload-related variables further enrich the descriptive narrative. The dataset includes indicators for overtime and weekend work, allowing for an exploration of working time intensity. A noticeable proportion of employee’s report working overtime, and attrition appears more prevalent among this group. Similarly, employees who engage in weekend work show different attrition patterns compared to those who do not. These variables help shift the analysis from static employee characteristics toward lived working </w:t>
      </w:r>
      <w:r w:rsidRPr="00DA5405">
        <w:rPr>
          <w:rFonts w:ascii="Times New Roman" w:eastAsia="Times New Roman" w:hAnsi="Times New Roman" w:cs="Times New Roman"/>
          <w:color w:val="000000"/>
          <w:kern w:val="0"/>
          <w:sz w:val="24"/>
          <w:szCs w:val="24"/>
          <w:lang w:eastAsia="en-GB"/>
          <w14:ligatures w14:val="none"/>
        </w:rPr>
        <w:lastRenderedPageBreak/>
        <w:t>conditions, offering insight into how work demands may influence employee decisions to stay or leave.</w:t>
      </w:r>
    </w:p>
    <w:p w14:paraId="3633C5CD" w14:textId="77777777" w:rsidR="00DA5405" w:rsidRDefault="00DA5405" w:rsidP="00DA5405">
      <w:pPr>
        <w:spacing w:after="0" w:line="240" w:lineRule="auto"/>
        <w:rPr>
          <w:rFonts w:ascii="Times New Roman" w:eastAsia="Times New Roman" w:hAnsi="Times New Roman" w:cs="Times New Roman"/>
          <w:color w:val="000000"/>
          <w:kern w:val="0"/>
          <w:sz w:val="24"/>
          <w:szCs w:val="24"/>
          <w:lang w:eastAsia="en-GB"/>
          <w14:ligatures w14:val="none"/>
        </w:rPr>
      </w:pPr>
    </w:p>
    <w:p w14:paraId="2F639C0D" w14:textId="1B665A98" w:rsidR="006259F1" w:rsidRDefault="00DA5405" w:rsidP="006259F1">
      <w:pPr>
        <w:spacing w:after="0" w:line="240" w:lineRule="auto"/>
        <w:rPr>
          <w:rFonts w:ascii="Times New Roman" w:eastAsia="Times New Roman" w:hAnsi="Times New Roman" w:cs="Times New Roman"/>
          <w:color w:val="000000"/>
          <w:kern w:val="0"/>
          <w:sz w:val="24"/>
          <w:szCs w:val="24"/>
          <w:lang w:eastAsia="en-GB"/>
          <w14:ligatures w14:val="none"/>
        </w:rPr>
      </w:pPr>
      <w:r w:rsidRPr="00DA5405">
        <w:rPr>
          <w:rFonts w:ascii="Times New Roman" w:eastAsia="Times New Roman" w:hAnsi="Times New Roman" w:cs="Times New Roman"/>
          <w:color w:val="000000"/>
          <w:kern w:val="0"/>
          <w:sz w:val="24"/>
          <w:szCs w:val="24"/>
          <w:lang w:eastAsia="en-GB"/>
          <w14:ligatures w14:val="none"/>
        </w:rPr>
        <w:t>Attitudinal variables, especially job satisfaction, introduce a critical subjective dimension to the analysis. Average job satisfaction scores are lower among employees who have left the organisation compared to those who remain. Although the numerical difference is modest, the consistent direction of this relationship indicates a meaningful association between satisfaction and attrition. Notably, job satisfaction is influenced by factors such as workload, role clarity, career progression, and organisational support, which are indirectly captured by other variables in the dataset. Collectively, these descriptive findings present a coherent narrative. The organisation's workforce is predominantly concentrated in Sales and Research and Development, with higher attrition rates observed among employees in high-demand roles, those with shorter tenure, and those experiencing greater workload intensity. Rather than indicating a singular, organisation-wide issue, the data suggests that attrition is a multifaceted phenomenon shaped by role-specific pressures and working conditions. This initial exploratory analysis serves two primary purposes. First, it offers contextual understanding of the workforce and attrition patterns without introducing modelling assumptions. Second, it establishes a foundation for subsequent analytical stages by identifying variables most likely to serve as informative predictors of attrition. Grounding later modelling decisions in these descriptive insights ensures a coherent narrative connection between observed data patterns and the predictive techniques employed in subsequent sections of the report.</w:t>
      </w:r>
    </w:p>
    <w:p w14:paraId="75B611AB" w14:textId="77777777" w:rsidR="006259F1" w:rsidRDefault="006259F1" w:rsidP="006259F1">
      <w:pPr>
        <w:spacing w:after="0" w:line="240" w:lineRule="auto"/>
        <w:rPr>
          <w:rFonts w:ascii="Times New Roman" w:eastAsia="Times New Roman" w:hAnsi="Times New Roman" w:cs="Times New Roman"/>
          <w:color w:val="000000"/>
          <w:kern w:val="0"/>
          <w:sz w:val="24"/>
          <w:szCs w:val="24"/>
          <w:lang w:eastAsia="en-GB"/>
          <w14:ligatures w14:val="none"/>
        </w:rPr>
      </w:pPr>
    </w:p>
    <w:p w14:paraId="171D5412" w14:textId="5B2EEE36" w:rsidR="008925B5" w:rsidRDefault="006259F1" w:rsidP="008925B5">
      <w:pPr>
        <w:pStyle w:val="Heading1"/>
        <w:rPr>
          <w:rFonts w:eastAsia="Times New Roman"/>
          <w:lang w:eastAsia="en-GB"/>
        </w:rPr>
      </w:pPr>
      <w:bookmarkStart w:id="1" w:name="_Toc217079915"/>
      <w:r>
        <w:rPr>
          <w:rFonts w:eastAsia="Times New Roman"/>
          <w:lang w:eastAsia="en-GB"/>
        </w:rPr>
        <w:t>PART 2</w:t>
      </w:r>
      <w:bookmarkEnd w:id="1"/>
    </w:p>
    <w:p w14:paraId="5294BAC9" w14:textId="1B4057D9" w:rsidR="00102181" w:rsidRPr="00102181" w:rsidRDefault="00102181" w:rsidP="00102181">
      <w:pPr>
        <w:pStyle w:val="Heading2"/>
        <w:rPr>
          <w:lang w:eastAsia="en-GB"/>
        </w:rPr>
      </w:pPr>
      <w:bookmarkStart w:id="2" w:name="_Toc217079916"/>
      <w:r>
        <w:rPr>
          <w:lang w:eastAsia="en-GB"/>
        </w:rPr>
        <w:t>Introduction</w:t>
      </w:r>
      <w:bookmarkEnd w:id="2"/>
    </w:p>
    <w:p w14:paraId="311E8426" w14:textId="77777777" w:rsidR="008925B5" w:rsidRPr="008925B5" w:rsidRDefault="008925B5" w:rsidP="008925B5">
      <w:pPr>
        <w:spacing w:after="0" w:line="240" w:lineRule="auto"/>
        <w:rPr>
          <w:rFonts w:ascii="Times New Roman" w:eastAsia="Times New Roman" w:hAnsi="Times New Roman" w:cs="Times New Roman"/>
          <w:color w:val="000000"/>
          <w:kern w:val="0"/>
          <w:sz w:val="24"/>
          <w:szCs w:val="24"/>
          <w:lang w:eastAsia="en-GB"/>
          <w14:ligatures w14:val="none"/>
        </w:rPr>
      </w:pPr>
      <w:r w:rsidRPr="008925B5">
        <w:rPr>
          <w:rFonts w:ascii="Times New Roman" w:eastAsia="Times New Roman" w:hAnsi="Times New Roman" w:cs="Times New Roman"/>
          <w:color w:val="000000"/>
          <w:kern w:val="0"/>
          <w:sz w:val="24"/>
          <w:szCs w:val="24"/>
          <w:lang w:eastAsia="en-GB"/>
          <w14:ligatures w14:val="none"/>
        </w:rPr>
        <w:t>Employee attrition represents a significant business challenge due to its financial, operational, and strategic consequences. High levels of employee turnover are associated with direct costs such as recruitment, selection, onboarding, and training, as well as indirect costs including productivity losses, disruption to team cohesion, and the erosion of organisational knowledge (CIPD, 2025). These impacts are particularly acute when attrition affects critical or specialist roles, where replacement is time-consuming and costly. Consequently, employee retention has become a strategic priority within human resource management rather than a purely administrative concern. In this context, the business problem addressed in this analysis is to understand which employee characteristics and working conditions are associated with attrition in a pharmaceutical organisation, and whether predictive modelling can be used to identify employees at higher risk of leaving. The dataset provides individual-level information on job roles, departments, tenure, workload indicators such as overtime and weekend work, and attitudinal variables including job satisfaction. Analysing these factors enables the organisation to move beyond descriptive reporting toward evidence-based decision-making, supporting more targeted and effective retention strategies.</w:t>
      </w:r>
    </w:p>
    <w:p w14:paraId="7AC0723A" w14:textId="77777777" w:rsidR="008925B5" w:rsidRPr="008925B5" w:rsidRDefault="008925B5" w:rsidP="008925B5">
      <w:pPr>
        <w:spacing w:after="0" w:line="240" w:lineRule="auto"/>
        <w:rPr>
          <w:rFonts w:ascii="Times New Roman" w:eastAsia="Times New Roman" w:hAnsi="Times New Roman" w:cs="Times New Roman"/>
          <w:color w:val="000000"/>
          <w:kern w:val="0"/>
          <w:sz w:val="24"/>
          <w:szCs w:val="24"/>
          <w:lang w:eastAsia="en-GB"/>
          <w14:ligatures w14:val="none"/>
        </w:rPr>
      </w:pPr>
    </w:p>
    <w:p w14:paraId="43EB25C3" w14:textId="77777777" w:rsidR="008925B5" w:rsidRPr="008925B5" w:rsidRDefault="008925B5" w:rsidP="008925B5">
      <w:pPr>
        <w:spacing w:after="0" w:line="240" w:lineRule="auto"/>
        <w:rPr>
          <w:rFonts w:ascii="Times New Roman" w:eastAsia="Times New Roman" w:hAnsi="Times New Roman" w:cs="Times New Roman"/>
          <w:color w:val="000000"/>
          <w:kern w:val="0"/>
          <w:sz w:val="24"/>
          <w:szCs w:val="24"/>
          <w:lang w:eastAsia="en-GB"/>
          <w14:ligatures w14:val="none"/>
        </w:rPr>
      </w:pPr>
      <w:r w:rsidRPr="008925B5">
        <w:rPr>
          <w:rFonts w:ascii="Times New Roman" w:eastAsia="Times New Roman" w:hAnsi="Times New Roman" w:cs="Times New Roman"/>
          <w:color w:val="000000"/>
          <w:kern w:val="0"/>
          <w:sz w:val="24"/>
          <w:szCs w:val="24"/>
          <w:lang w:eastAsia="en-GB"/>
          <w14:ligatures w14:val="none"/>
        </w:rPr>
        <w:t xml:space="preserve">The analytical focus of this project is grounded in established turnover theory, which emphasises that employee exits are rarely random events but instead result from a process shaped by job attitudes, working conditions, and perceived alternatives. Early models of employee turnover describe a sequence in which dissatisfaction leads to thoughts of leaving, job search behaviour, and ultimately voluntary turnover (Mobley, 1977; Hom, 1984). </w:t>
      </w:r>
      <w:r w:rsidRPr="008925B5">
        <w:rPr>
          <w:rFonts w:ascii="Times New Roman" w:eastAsia="Times New Roman" w:hAnsi="Times New Roman" w:cs="Times New Roman"/>
          <w:color w:val="000000"/>
          <w:kern w:val="0"/>
          <w:sz w:val="24"/>
          <w:szCs w:val="24"/>
          <w:lang w:eastAsia="en-GB"/>
          <w14:ligatures w14:val="none"/>
        </w:rPr>
        <w:lastRenderedPageBreak/>
        <w:t>Subsequent research and meta-analytic evidence reinforce the view that attrition is influenced by multiple factors rather than a single cause, highlighting the combined role of job satisfaction, work demands, tenure, and organisational context in shaping turnover decisions (Griffeth, Hom and Gaertner, 2000). More recent perspectives, such as job embeddedness theory, further argue that employees remain with organisations not only due to satisfaction, but also because of their perceived fit, social links, and the sacrifices associated with leaving (Mitchell et al., 2001). Together, these theoretical frameworks justify examining both objective working conditions and subjective employee perceptions when analysing attrition. They also support the use of predictive analytics in HR, as recommended by evidence-based retention research, to identify high-risk employees and inform proactive intervention strategies (Allen, Bryant and Vardaman, 2010).</w:t>
      </w:r>
    </w:p>
    <w:p w14:paraId="1068AE80" w14:textId="77777777" w:rsidR="008925B5" w:rsidRPr="006259F1" w:rsidRDefault="008925B5" w:rsidP="006259F1">
      <w:pPr>
        <w:rPr>
          <w:lang w:eastAsia="en-GB"/>
        </w:rPr>
      </w:pPr>
    </w:p>
    <w:p w14:paraId="1FCDF96F" w14:textId="03EF794D" w:rsidR="00102181" w:rsidRPr="00102181" w:rsidRDefault="00102181" w:rsidP="00102181">
      <w:pPr>
        <w:pStyle w:val="Heading2"/>
        <w:rPr>
          <w:rFonts w:eastAsia="Times New Roman"/>
          <w:lang w:eastAsia="en-GB"/>
        </w:rPr>
      </w:pPr>
      <w:bookmarkStart w:id="3" w:name="_Toc217079917"/>
      <w:r w:rsidRPr="00102181">
        <w:rPr>
          <w:rFonts w:eastAsia="Times New Roman"/>
          <w:lang w:eastAsia="en-GB"/>
        </w:rPr>
        <w:t>Data understanding and preparation</w:t>
      </w:r>
      <w:bookmarkEnd w:id="3"/>
    </w:p>
    <w:p w14:paraId="1525B47F" w14:textId="4B2D8E71" w:rsidR="00102181" w:rsidRPr="00102181" w:rsidRDefault="00102181" w:rsidP="00102181">
      <w:pPr>
        <w:spacing w:after="0" w:line="240" w:lineRule="auto"/>
        <w:rPr>
          <w:rFonts w:ascii="Times New Roman" w:eastAsia="Times New Roman" w:hAnsi="Times New Roman" w:cs="Times New Roman"/>
          <w:color w:val="000000"/>
          <w:kern w:val="0"/>
          <w:sz w:val="24"/>
          <w:szCs w:val="24"/>
          <w:lang w:eastAsia="en-GB"/>
          <w14:ligatures w14:val="none"/>
        </w:rPr>
      </w:pPr>
      <w:r w:rsidRPr="00102181">
        <w:rPr>
          <w:rFonts w:ascii="Times New Roman" w:eastAsia="Times New Roman" w:hAnsi="Times New Roman" w:cs="Times New Roman"/>
          <w:color w:val="000000"/>
          <w:kern w:val="0"/>
          <w:sz w:val="24"/>
          <w:szCs w:val="24"/>
          <w:lang w:eastAsia="en-GB"/>
          <w14:ligatures w14:val="none"/>
        </w:rPr>
        <w:t xml:space="preserve">This section uses the CRISP-DM approach, starting with understanding the data by checking its contents and reliability, then preparing it for building and testing prediction models (CRISP-DM, 2000; Shearer, 2000). I did all the preparation in KNIME to keep the workflow clear and repeatable. I began by importing the dataset with the Excel Reader node and used the Statistics View to get a basic data quality report of the variables. This confirmed that Attrition is a Yes/No category and that most employees are in the No group, so the data is not balanced between leavers and non-leavers. This is important because if most people stay, a model might look accurate by predicting “No” for almost everyone, but it would not help identify likely leavers. Because of this, I did not focus on just one main accuracy number later but also checked how predictions were split between Yes and No in the test results (Fawcett, 2006; Saito and </w:t>
      </w:r>
      <w:proofErr w:type="spellStart"/>
      <w:r w:rsidRPr="00102181">
        <w:rPr>
          <w:rFonts w:ascii="Times New Roman" w:eastAsia="Times New Roman" w:hAnsi="Times New Roman" w:cs="Times New Roman"/>
          <w:color w:val="000000"/>
          <w:kern w:val="0"/>
          <w:sz w:val="24"/>
          <w:szCs w:val="24"/>
          <w:lang w:eastAsia="en-GB"/>
          <w14:ligatures w14:val="none"/>
        </w:rPr>
        <w:t>Rehmsmeier</w:t>
      </w:r>
      <w:proofErr w:type="spellEnd"/>
      <w:r w:rsidRPr="00102181">
        <w:rPr>
          <w:rFonts w:ascii="Times New Roman" w:eastAsia="Times New Roman" w:hAnsi="Times New Roman" w:cs="Times New Roman"/>
          <w:color w:val="000000"/>
          <w:kern w:val="0"/>
          <w:sz w:val="24"/>
          <w:szCs w:val="24"/>
          <w:lang w:eastAsia="en-GB"/>
          <w14:ligatures w14:val="none"/>
        </w:rPr>
        <w:t>, 2015).</w:t>
      </w:r>
    </w:p>
    <w:p w14:paraId="628A254E" w14:textId="77777777" w:rsidR="00102181" w:rsidRPr="00102181" w:rsidRDefault="00102181" w:rsidP="00102181">
      <w:pPr>
        <w:spacing w:after="0" w:line="240" w:lineRule="auto"/>
        <w:rPr>
          <w:rFonts w:ascii="Times New Roman" w:eastAsia="Times New Roman" w:hAnsi="Times New Roman" w:cs="Times New Roman"/>
          <w:color w:val="000000"/>
          <w:kern w:val="0"/>
          <w:sz w:val="24"/>
          <w:szCs w:val="24"/>
          <w:lang w:eastAsia="en-GB"/>
          <w14:ligatures w14:val="none"/>
        </w:rPr>
      </w:pPr>
      <w:r w:rsidRPr="00102181">
        <w:rPr>
          <w:rFonts w:ascii="Times New Roman" w:eastAsia="Times New Roman" w:hAnsi="Times New Roman" w:cs="Times New Roman"/>
          <w:color w:val="000000"/>
          <w:kern w:val="0"/>
          <w:sz w:val="24"/>
          <w:szCs w:val="24"/>
          <w:lang w:eastAsia="en-GB"/>
          <w14:ligatures w14:val="none"/>
        </w:rPr>
        <w:t>During preparation, I cleaned and standardized the table using the nodes in my KNIME workflow. I used the Missing Value node to handle incomplete records in a consistent way. This is important because leaving missing values can cause errors in training, and deleting rows can shrink the dataset and remove useful patterns. A structured approach to missing data is recommended in analytics because it improves reliability and makes the process easier to review (van Buuren, 2018). I used a Rule Engine step to apply simple, consistent rules, such as standardizing categories or recoding fields. I also checked numeric fields with the Numeric Outliers node. I did not automatically delete unusual numbers, since extreme values can be real, like a high number of years at the company. Instead, I used the outlier check to spot possible data-entry errors and to see if the data had rare but reasonable cases. This follows good data preparation practice: investigate unusual values, fix clear errors, and avoid removing valid data without a good reason (Aggarwal, 2017; Kuhn and Johnson, 2019). </w:t>
      </w:r>
    </w:p>
    <w:p w14:paraId="68C611E0" w14:textId="77777777" w:rsidR="00102181" w:rsidRDefault="00102181" w:rsidP="00102181">
      <w:pPr>
        <w:spacing w:after="0" w:line="240" w:lineRule="auto"/>
        <w:rPr>
          <w:rFonts w:ascii="Times New Roman" w:eastAsia="Times New Roman" w:hAnsi="Times New Roman" w:cs="Times New Roman"/>
          <w:color w:val="000000"/>
          <w:kern w:val="0"/>
          <w:sz w:val="24"/>
          <w:szCs w:val="24"/>
          <w:lang w:eastAsia="en-GB"/>
          <w14:ligatures w14:val="none"/>
        </w:rPr>
      </w:pPr>
      <w:r w:rsidRPr="00102181">
        <w:rPr>
          <w:rFonts w:ascii="Times New Roman" w:eastAsia="Times New Roman" w:hAnsi="Times New Roman" w:cs="Times New Roman"/>
          <w:color w:val="000000"/>
          <w:kern w:val="0"/>
          <w:sz w:val="24"/>
          <w:szCs w:val="24"/>
          <w:lang w:eastAsia="en-GB"/>
          <w14:ligatures w14:val="none"/>
        </w:rPr>
        <w:t xml:space="preserve">Next, I used Column Auto Type Cast to make sure the data types were correct, so categories were treated as categories and numbers as numeric values. This matters because many </w:t>
      </w:r>
      <w:proofErr w:type="spellStart"/>
      <w:r w:rsidRPr="00102181">
        <w:rPr>
          <w:rFonts w:ascii="Times New Roman" w:eastAsia="Times New Roman" w:hAnsi="Times New Roman" w:cs="Times New Roman"/>
          <w:color w:val="000000"/>
          <w:kern w:val="0"/>
          <w:sz w:val="24"/>
          <w:szCs w:val="24"/>
          <w:lang w:eastAsia="en-GB"/>
          <w14:ligatures w14:val="none"/>
        </w:rPr>
        <w:t>modeling</w:t>
      </w:r>
      <w:proofErr w:type="spellEnd"/>
      <w:r w:rsidRPr="00102181">
        <w:rPr>
          <w:rFonts w:ascii="Times New Roman" w:eastAsia="Times New Roman" w:hAnsi="Times New Roman" w:cs="Times New Roman"/>
          <w:color w:val="000000"/>
          <w:kern w:val="0"/>
          <w:sz w:val="24"/>
          <w:szCs w:val="24"/>
          <w:lang w:eastAsia="en-GB"/>
          <w14:ligatures w14:val="none"/>
        </w:rPr>
        <w:t xml:space="preserve"> methods handle categories and numbers differently, and type errors can cause problems. I also used a Binner node for some fields, which means turning a continuous number into groups like low, medium, or high. I only did this when it helped make patterns clearer for </w:t>
      </w:r>
      <w:proofErr w:type="spellStart"/>
      <w:r w:rsidRPr="00102181">
        <w:rPr>
          <w:rFonts w:ascii="Times New Roman" w:eastAsia="Times New Roman" w:hAnsi="Times New Roman" w:cs="Times New Roman"/>
          <w:color w:val="000000"/>
          <w:kern w:val="0"/>
          <w:sz w:val="24"/>
          <w:szCs w:val="24"/>
          <w:lang w:eastAsia="en-GB"/>
          <w14:ligatures w14:val="none"/>
        </w:rPr>
        <w:t>modeling</w:t>
      </w:r>
      <w:proofErr w:type="spellEnd"/>
      <w:r w:rsidRPr="00102181">
        <w:rPr>
          <w:rFonts w:ascii="Times New Roman" w:eastAsia="Times New Roman" w:hAnsi="Times New Roman" w:cs="Times New Roman"/>
          <w:color w:val="000000"/>
          <w:kern w:val="0"/>
          <w:sz w:val="24"/>
          <w:szCs w:val="24"/>
          <w:lang w:eastAsia="en-GB"/>
          <w14:ligatures w14:val="none"/>
        </w:rPr>
        <w:t xml:space="preserve"> and interpretation. I was careful not to use too much binning, since it can remove useful detail (Kuhn and Johnson, 2019; James et al., 2021). Finally, I used a Column Filter to remove variables that would not help with prediction, such as ID fields, or were not right for the </w:t>
      </w:r>
      <w:proofErr w:type="spellStart"/>
      <w:r w:rsidRPr="00102181">
        <w:rPr>
          <w:rFonts w:ascii="Times New Roman" w:eastAsia="Times New Roman" w:hAnsi="Times New Roman" w:cs="Times New Roman"/>
          <w:color w:val="000000"/>
          <w:kern w:val="0"/>
          <w:sz w:val="24"/>
          <w:szCs w:val="24"/>
          <w:lang w:eastAsia="en-GB"/>
          <w14:ligatures w14:val="none"/>
        </w:rPr>
        <w:t>modeling</w:t>
      </w:r>
      <w:proofErr w:type="spellEnd"/>
      <w:r w:rsidRPr="00102181">
        <w:rPr>
          <w:rFonts w:ascii="Times New Roman" w:eastAsia="Times New Roman" w:hAnsi="Times New Roman" w:cs="Times New Roman"/>
          <w:color w:val="000000"/>
          <w:kern w:val="0"/>
          <w:sz w:val="24"/>
          <w:szCs w:val="24"/>
          <w:lang w:eastAsia="en-GB"/>
          <w14:ligatures w14:val="none"/>
        </w:rPr>
        <w:t xml:space="preserve"> goal. This matches the CRISP-DM idea of building a dataset that fits the purpose (CRISP-DM, 2000; Shearer, 2000). Overall, I designed this preparation workflow to be clear and repeatable, which is important in HR analytics so results can be explained and checked instead of being a “black box” (</w:t>
      </w:r>
      <w:proofErr w:type="spellStart"/>
      <w:r w:rsidRPr="00102181">
        <w:rPr>
          <w:rFonts w:ascii="Times New Roman" w:eastAsia="Times New Roman" w:hAnsi="Times New Roman" w:cs="Times New Roman"/>
          <w:color w:val="000000"/>
          <w:kern w:val="0"/>
          <w:sz w:val="24"/>
          <w:szCs w:val="24"/>
          <w:lang w:eastAsia="en-GB"/>
          <w14:ligatures w14:val="none"/>
        </w:rPr>
        <w:t>Angrave</w:t>
      </w:r>
      <w:proofErr w:type="spellEnd"/>
      <w:r w:rsidRPr="00102181">
        <w:rPr>
          <w:rFonts w:ascii="Times New Roman" w:eastAsia="Times New Roman" w:hAnsi="Times New Roman" w:cs="Times New Roman"/>
          <w:color w:val="000000"/>
          <w:kern w:val="0"/>
          <w:sz w:val="24"/>
          <w:szCs w:val="24"/>
          <w:lang w:eastAsia="en-GB"/>
          <w14:ligatures w14:val="none"/>
        </w:rPr>
        <w:t xml:space="preserve"> et al., 2016; Marler and Boudreau, 2017).</w:t>
      </w:r>
    </w:p>
    <w:p w14:paraId="7A14B077" w14:textId="77777777" w:rsidR="00102181" w:rsidRDefault="00102181" w:rsidP="00102181">
      <w:pPr>
        <w:pStyle w:val="Heading2"/>
        <w:rPr>
          <w:rFonts w:eastAsia="Times New Roman"/>
          <w:lang w:eastAsia="en-GB"/>
        </w:rPr>
      </w:pPr>
    </w:p>
    <w:p w14:paraId="75EAC474" w14:textId="150D3F30" w:rsidR="00102181" w:rsidRPr="00102181" w:rsidRDefault="00102181" w:rsidP="00102181">
      <w:pPr>
        <w:pStyle w:val="Heading2"/>
        <w:rPr>
          <w:rFonts w:eastAsia="Times New Roman"/>
          <w:lang w:eastAsia="en-GB"/>
        </w:rPr>
      </w:pPr>
      <w:bookmarkStart w:id="4" w:name="_Toc217079918"/>
      <w:r w:rsidRPr="00102181">
        <w:rPr>
          <w:rFonts w:eastAsia="Times New Roman"/>
          <w:lang w:eastAsia="en-GB"/>
        </w:rPr>
        <w:t>Model building, validation and interpretation of results</w:t>
      </w:r>
      <w:bookmarkEnd w:id="4"/>
    </w:p>
    <w:p w14:paraId="2ED98815" w14:textId="77777777" w:rsidR="00102181" w:rsidRPr="00102181" w:rsidRDefault="00102181" w:rsidP="00102181">
      <w:pPr>
        <w:spacing w:after="0" w:line="240" w:lineRule="auto"/>
        <w:rPr>
          <w:rFonts w:ascii="Times New Roman" w:eastAsia="Times New Roman" w:hAnsi="Times New Roman" w:cs="Times New Roman"/>
          <w:color w:val="000000"/>
          <w:kern w:val="0"/>
          <w:sz w:val="24"/>
          <w:szCs w:val="24"/>
          <w:lang w:eastAsia="en-GB"/>
          <w14:ligatures w14:val="none"/>
        </w:rPr>
      </w:pPr>
      <w:r w:rsidRPr="00102181">
        <w:rPr>
          <w:rFonts w:ascii="Times New Roman" w:eastAsia="Times New Roman" w:hAnsi="Times New Roman" w:cs="Times New Roman"/>
          <w:color w:val="000000"/>
          <w:kern w:val="0"/>
          <w:sz w:val="24"/>
          <w:szCs w:val="24"/>
          <w:lang w:eastAsia="en-GB"/>
          <w14:ligatures w14:val="none"/>
        </w:rPr>
        <w:t xml:space="preserve">After preparing the data, I built two predictive models in KNIME. The goal was to predict if an employee is more likely to be in the Attrition = Yes or No group, based on their data. In CRISP-DM, this is the </w:t>
      </w:r>
      <w:proofErr w:type="spellStart"/>
      <w:r w:rsidRPr="00102181">
        <w:rPr>
          <w:rFonts w:ascii="Times New Roman" w:eastAsia="Times New Roman" w:hAnsi="Times New Roman" w:cs="Times New Roman"/>
          <w:color w:val="000000"/>
          <w:kern w:val="0"/>
          <w:sz w:val="24"/>
          <w:szCs w:val="24"/>
          <w:lang w:eastAsia="en-GB"/>
          <w14:ligatures w14:val="none"/>
        </w:rPr>
        <w:t>modeling</w:t>
      </w:r>
      <w:proofErr w:type="spellEnd"/>
      <w:r w:rsidRPr="00102181">
        <w:rPr>
          <w:rFonts w:ascii="Times New Roman" w:eastAsia="Times New Roman" w:hAnsi="Times New Roman" w:cs="Times New Roman"/>
          <w:color w:val="000000"/>
          <w:kern w:val="0"/>
          <w:sz w:val="24"/>
          <w:szCs w:val="24"/>
          <w:lang w:eastAsia="en-GB"/>
          <w14:ligatures w14:val="none"/>
        </w:rPr>
        <w:t xml:space="preserve"> and evaluation phase, where it is important to test the model on data it has not seen before (CRISP-DM, 2000; Shearer, 2000). I used the Table Partitioner node to split the data into training and test sets, trained the models on the training data, and made predictions on the test data. This step is important in the coursework because it checks if the model works on new data, not just the data it was built on.</w:t>
      </w:r>
    </w:p>
    <w:p w14:paraId="6A465FF9" w14:textId="46FAB270" w:rsidR="00102181" w:rsidRPr="00102181" w:rsidRDefault="00102181" w:rsidP="00102181">
      <w:pPr>
        <w:spacing w:after="0" w:line="240" w:lineRule="auto"/>
        <w:rPr>
          <w:rFonts w:ascii="Times New Roman" w:eastAsia="Times New Roman" w:hAnsi="Times New Roman" w:cs="Times New Roman"/>
          <w:color w:val="000000"/>
          <w:kern w:val="0"/>
          <w:sz w:val="24"/>
          <w:szCs w:val="24"/>
          <w:lang w:eastAsia="en-GB"/>
          <w14:ligatures w14:val="none"/>
        </w:rPr>
      </w:pPr>
      <w:r w:rsidRPr="00102181">
        <w:rPr>
          <w:rFonts w:ascii="Times New Roman" w:eastAsia="Times New Roman" w:hAnsi="Times New Roman" w:cs="Times New Roman"/>
          <w:color w:val="000000"/>
          <w:kern w:val="0"/>
          <w:sz w:val="24"/>
          <w:szCs w:val="24"/>
          <w:lang w:eastAsia="en-GB"/>
          <w14:ligatures w14:val="none"/>
        </w:rPr>
        <w:t>The two models I used were a decision tree and a random forest. A decision tree is helpful in HR because it gives clear decision rules, such as moving down a branch if a condition is met, which makes the results easier to understand. A random forest combines many decision trees and usually gives more stable predictions by averaging their results, instead of relying on just one tree (</w:t>
      </w:r>
      <w:proofErr w:type="spellStart"/>
      <w:r w:rsidRPr="00102181">
        <w:rPr>
          <w:rFonts w:ascii="Times New Roman" w:eastAsia="Times New Roman" w:hAnsi="Times New Roman" w:cs="Times New Roman"/>
          <w:color w:val="000000"/>
          <w:kern w:val="0"/>
          <w:sz w:val="24"/>
          <w:szCs w:val="24"/>
          <w:lang w:eastAsia="en-GB"/>
          <w14:ligatures w14:val="none"/>
        </w:rPr>
        <w:t>Breiman</w:t>
      </w:r>
      <w:proofErr w:type="spellEnd"/>
      <w:r w:rsidRPr="00102181">
        <w:rPr>
          <w:rFonts w:ascii="Times New Roman" w:eastAsia="Times New Roman" w:hAnsi="Times New Roman" w:cs="Times New Roman"/>
          <w:color w:val="000000"/>
          <w:kern w:val="0"/>
          <w:sz w:val="24"/>
          <w:szCs w:val="24"/>
          <w:lang w:eastAsia="en-GB"/>
          <w14:ligatures w14:val="none"/>
        </w:rPr>
        <w:t xml:space="preserve">, 2001; James et al., 2021). In KNIME, I set up both models the same way: using a learner node, a predictor node, and then a Scorer node. The Scorer output includes a confusion matrix, which is a table that shows how many predictions were correct or incorrect for each group. This is useful because it shows not just overall accuracy, but also whether the model correctly predicts the “Yes” cases, or leavers. In one result, the confusion matrix showed: 42 employees who left were predicted as Yes, 40 who left were predicted as No, 25 who stayed were predicted as Yes, and 330 who stayed were predicted as No. This gave an overall accuracy of 85.1 percent. In the other result, the confusion matrix showed: 19 true leavers predicted as Yes, 48 true leavers predicted as No, 53 true stayers predicted as Yes, and 237 true stayers predicted as No, with an overall accuracy of 71.7 </w:t>
      </w:r>
      <w:proofErr w:type="gramStart"/>
      <w:r w:rsidRPr="00102181">
        <w:rPr>
          <w:rFonts w:ascii="Times New Roman" w:eastAsia="Times New Roman" w:hAnsi="Times New Roman" w:cs="Times New Roman"/>
          <w:color w:val="000000"/>
          <w:kern w:val="0"/>
          <w:sz w:val="24"/>
          <w:szCs w:val="24"/>
          <w:lang w:eastAsia="en-GB"/>
          <w14:ligatures w14:val="none"/>
        </w:rPr>
        <w:t>percent</w:t>
      </w:r>
      <w:r>
        <w:rPr>
          <w:rFonts w:ascii="Times New Roman" w:eastAsia="Times New Roman" w:hAnsi="Times New Roman" w:cs="Times New Roman"/>
          <w:color w:val="000000"/>
          <w:kern w:val="0"/>
          <w:sz w:val="24"/>
          <w:szCs w:val="24"/>
          <w:lang w:eastAsia="en-GB"/>
          <w14:ligatures w14:val="none"/>
        </w:rPr>
        <w:t>(</w:t>
      </w:r>
      <w:proofErr w:type="gramEnd"/>
      <w:r>
        <w:rPr>
          <w:rFonts w:ascii="Times New Roman" w:eastAsia="Times New Roman" w:hAnsi="Times New Roman" w:cs="Times New Roman"/>
          <w:color w:val="000000"/>
          <w:kern w:val="0"/>
          <w:sz w:val="24"/>
          <w:szCs w:val="24"/>
          <w:lang w:eastAsia="en-GB"/>
          <w14:ligatures w14:val="none"/>
        </w:rPr>
        <w:t>Decision Tree)</w:t>
      </w:r>
      <w:r w:rsidRPr="00102181">
        <w:rPr>
          <w:rFonts w:ascii="Times New Roman" w:eastAsia="Times New Roman" w:hAnsi="Times New Roman" w:cs="Times New Roman"/>
          <w:color w:val="000000"/>
          <w:kern w:val="0"/>
          <w:sz w:val="24"/>
          <w:szCs w:val="24"/>
          <w:lang w:eastAsia="en-GB"/>
          <w14:ligatures w14:val="none"/>
        </w:rPr>
        <w:t xml:space="preserve">. In simple terms, the first </w:t>
      </w:r>
      <w:proofErr w:type="gramStart"/>
      <w:r w:rsidRPr="00102181">
        <w:rPr>
          <w:rFonts w:ascii="Times New Roman" w:eastAsia="Times New Roman" w:hAnsi="Times New Roman" w:cs="Times New Roman"/>
          <w:color w:val="000000"/>
          <w:kern w:val="0"/>
          <w:sz w:val="24"/>
          <w:szCs w:val="24"/>
          <w:lang w:eastAsia="en-GB"/>
          <w14:ligatures w14:val="none"/>
        </w:rPr>
        <w:t>model</w:t>
      </w:r>
      <w:r>
        <w:rPr>
          <w:rFonts w:ascii="Times New Roman" w:eastAsia="Times New Roman" w:hAnsi="Times New Roman" w:cs="Times New Roman"/>
          <w:color w:val="000000"/>
          <w:kern w:val="0"/>
          <w:sz w:val="24"/>
          <w:szCs w:val="24"/>
          <w:lang w:eastAsia="en-GB"/>
          <w14:ligatures w14:val="none"/>
        </w:rPr>
        <w:t>(</w:t>
      </w:r>
      <w:proofErr w:type="gramEnd"/>
      <w:r>
        <w:rPr>
          <w:rFonts w:ascii="Times New Roman" w:eastAsia="Times New Roman" w:hAnsi="Times New Roman" w:cs="Times New Roman"/>
          <w:color w:val="000000"/>
          <w:kern w:val="0"/>
          <w:sz w:val="24"/>
          <w:szCs w:val="24"/>
          <w:lang w:eastAsia="en-GB"/>
          <w14:ligatures w14:val="none"/>
        </w:rPr>
        <w:t>Random Forrest)</w:t>
      </w:r>
      <w:r w:rsidRPr="00102181">
        <w:rPr>
          <w:rFonts w:ascii="Times New Roman" w:eastAsia="Times New Roman" w:hAnsi="Times New Roman" w:cs="Times New Roman"/>
          <w:color w:val="000000"/>
          <w:kern w:val="0"/>
          <w:sz w:val="24"/>
          <w:szCs w:val="24"/>
          <w:lang w:eastAsia="en-GB"/>
          <w14:ligatures w14:val="none"/>
        </w:rPr>
        <w:t xml:space="preserve"> did better overall and made fewer mistakes. More importantly, it correctly identified more leavers than the second model, which is important because the main goal of an attrition model is to help HR focus on employees who might be at risk (Fawcett, 2006; Saito and </w:t>
      </w:r>
      <w:proofErr w:type="spellStart"/>
      <w:r w:rsidRPr="00102181">
        <w:rPr>
          <w:rFonts w:ascii="Times New Roman" w:eastAsia="Times New Roman" w:hAnsi="Times New Roman" w:cs="Times New Roman"/>
          <w:color w:val="000000"/>
          <w:kern w:val="0"/>
          <w:sz w:val="24"/>
          <w:szCs w:val="24"/>
          <w:lang w:eastAsia="en-GB"/>
          <w14:ligatures w14:val="none"/>
        </w:rPr>
        <w:t>Rehmsmeier</w:t>
      </w:r>
      <w:proofErr w:type="spellEnd"/>
      <w:r w:rsidRPr="00102181">
        <w:rPr>
          <w:rFonts w:ascii="Times New Roman" w:eastAsia="Times New Roman" w:hAnsi="Times New Roman" w:cs="Times New Roman"/>
          <w:color w:val="000000"/>
          <w:kern w:val="0"/>
          <w:sz w:val="24"/>
          <w:szCs w:val="24"/>
          <w:lang w:eastAsia="en-GB"/>
          <w14:ligatures w14:val="none"/>
        </w:rPr>
        <w:t>, 2015).</w:t>
      </w:r>
    </w:p>
    <w:p w14:paraId="28DCC533" w14:textId="77777777" w:rsidR="00102181" w:rsidRPr="00102181" w:rsidRDefault="00102181" w:rsidP="00102181">
      <w:pPr>
        <w:spacing w:after="0" w:line="240" w:lineRule="auto"/>
        <w:rPr>
          <w:rFonts w:ascii="Times New Roman" w:eastAsia="Times New Roman" w:hAnsi="Times New Roman" w:cs="Times New Roman"/>
          <w:color w:val="000000"/>
          <w:kern w:val="0"/>
          <w:sz w:val="24"/>
          <w:szCs w:val="24"/>
          <w:lang w:eastAsia="en-GB"/>
          <w14:ligatures w14:val="none"/>
        </w:rPr>
      </w:pPr>
    </w:p>
    <w:p w14:paraId="5B80DB80" w14:textId="77777777" w:rsidR="00102181" w:rsidRDefault="00102181" w:rsidP="00102181">
      <w:pPr>
        <w:spacing w:after="0" w:line="240" w:lineRule="auto"/>
        <w:rPr>
          <w:rFonts w:ascii="Times New Roman" w:eastAsia="Times New Roman" w:hAnsi="Times New Roman" w:cs="Times New Roman"/>
          <w:color w:val="000000"/>
          <w:kern w:val="0"/>
          <w:sz w:val="24"/>
          <w:szCs w:val="24"/>
          <w:lang w:eastAsia="en-GB"/>
          <w14:ligatures w14:val="none"/>
        </w:rPr>
      </w:pPr>
      <w:r w:rsidRPr="00102181">
        <w:rPr>
          <w:rFonts w:ascii="Times New Roman" w:eastAsia="Times New Roman" w:hAnsi="Times New Roman" w:cs="Times New Roman"/>
          <w:color w:val="000000"/>
          <w:kern w:val="0"/>
          <w:sz w:val="24"/>
          <w:szCs w:val="24"/>
          <w:lang w:eastAsia="en-GB"/>
          <w14:ligatures w14:val="none"/>
        </w:rPr>
        <w:t>It is important to explain how these models should be used. According to the HR analytics literature, predictive models like these should support decision-making by highlighting where to focus and which factors are most closely linked to attrition in this organization. They should not be used to make automatic decisions about individuals (</w:t>
      </w:r>
      <w:proofErr w:type="spellStart"/>
      <w:r w:rsidRPr="00102181">
        <w:rPr>
          <w:rFonts w:ascii="Times New Roman" w:eastAsia="Times New Roman" w:hAnsi="Times New Roman" w:cs="Times New Roman"/>
          <w:color w:val="000000"/>
          <w:kern w:val="0"/>
          <w:sz w:val="24"/>
          <w:szCs w:val="24"/>
          <w:lang w:eastAsia="en-GB"/>
          <w14:ligatures w14:val="none"/>
        </w:rPr>
        <w:t>Angrave</w:t>
      </w:r>
      <w:proofErr w:type="spellEnd"/>
      <w:r w:rsidRPr="00102181">
        <w:rPr>
          <w:rFonts w:ascii="Times New Roman" w:eastAsia="Times New Roman" w:hAnsi="Times New Roman" w:cs="Times New Roman"/>
          <w:color w:val="000000"/>
          <w:kern w:val="0"/>
          <w:sz w:val="24"/>
          <w:szCs w:val="24"/>
          <w:lang w:eastAsia="en-GB"/>
          <w14:ligatures w14:val="none"/>
        </w:rPr>
        <w:t xml:space="preserve"> et al., 2016; Marler and Boudreau, 2017). </w:t>
      </w:r>
    </w:p>
    <w:p w14:paraId="771FC082" w14:textId="77777777" w:rsidR="00102181" w:rsidRDefault="00102181" w:rsidP="00102181">
      <w:pPr>
        <w:spacing w:after="0" w:line="240" w:lineRule="auto"/>
        <w:rPr>
          <w:rFonts w:ascii="Times New Roman" w:eastAsia="Times New Roman" w:hAnsi="Times New Roman" w:cs="Times New Roman"/>
          <w:color w:val="000000"/>
          <w:kern w:val="0"/>
          <w:sz w:val="24"/>
          <w:szCs w:val="24"/>
          <w:lang w:eastAsia="en-GB"/>
          <w14:ligatures w14:val="none"/>
        </w:rPr>
      </w:pPr>
    </w:p>
    <w:p w14:paraId="378E3E60" w14:textId="77777777" w:rsidR="00D260D8" w:rsidRDefault="00D260D8" w:rsidP="00102181">
      <w:pPr>
        <w:spacing w:after="0" w:line="240" w:lineRule="auto"/>
        <w:rPr>
          <w:rFonts w:ascii="Times New Roman" w:eastAsia="Times New Roman" w:hAnsi="Times New Roman" w:cs="Times New Roman"/>
          <w:color w:val="000000"/>
          <w:kern w:val="0"/>
          <w:sz w:val="24"/>
          <w:szCs w:val="24"/>
          <w:lang w:eastAsia="en-GB"/>
          <w14:ligatures w14:val="none"/>
        </w:rPr>
      </w:pPr>
    </w:p>
    <w:p w14:paraId="61085391" w14:textId="77777777" w:rsidR="00D260D8" w:rsidRDefault="00D260D8" w:rsidP="00102181">
      <w:pPr>
        <w:spacing w:after="0" w:line="240" w:lineRule="auto"/>
        <w:rPr>
          <w:rFonts w:ascii="Times New Roman" w:eastAsia="Times New Roman" w:hAnsi="Times New Roman" w:cs="Times New Roman"/>
          <w:color w:val="000000"/>
          <w:kern w:val="0"/>
          <w:sz w:val="24"/>
          <w:szCs w:val="24"/>
          <w:lang w:eastAsia="en-GB"/>
          <w14:ligatures w14:val="none"/>
        </w:rPr>
      </w:pPr>
    </w:p>
    <w:p w14:paraId="5ED99630" w14:textId="77777777" w:rsidR="00D260D8" w:rsidRDefault="00D260D8" w:rsidP="00102181">
      <w:pPr>
        <w:spacing w:after="0" w:line="240" w:lineRule="auto"/>
        <w:rPr>
          <w:rFonts w:ascii="Times New Roman" w:eastAsia="Times New Roman" w:hAnsi="Times New Roman" w:cs="Times New Roman"/>
          <w:color w:val="000000"/>
          <w:kern w:val="0"/>
          <w:sz w:val="24"/>
          <w:szCs w:val="24"/>
          <w:lang w:eastAsia="en-GB"/>
          <w14:ligatures w14:val="none"/>
        </w:rPr>
      </w:pPr>
    </w:p>
    <w:p w14:paraId="72203441" w14:textId="77777777" w:rsidR="00D260D8" w:rsidRDefault="00D260D8" w:rsidP="00102181">
      <w:pPr>
        <w:spacing w:after="0" w:line="240" w:lineRule="auto"/>
        <w:rPr>
          <w:rFonts w:ascii="Times New Roman" w:eastAsia="Times New Roman" w:hAnsi="Times New Roman" w:cs="Times New Roman"/>
          <w:color w:val="000000"/>
          <w:kern w:val="0"/>
          <w:sz w:val="24"/>
          <w:szCs w:val="24"/>
          <w:lang w:eastAsia="en-GB"/>
          <w14:ligatures w14:val="none"/>
        </w:rPr>
      </w:pPr>
    </w:p>
    <w:p w14:paraId="7F326BCB" w14:textId="77777777" w:rsidR="00D260D8" w:rsidRDefault="00D260D8" w:rsidP="00102181">
      <w:pPr>
        <w:spacing w:after="0" w:line="240" w:lineRule="auto"/>
        <w:rPr>
          <w:rFonts w:ascii="Times New Roman" w:eastAsia="Times New Roman" w:hAnsi="Times New Roman" w:cs="Times New Roman"/>
          <w:color w:val="000000"/>
          <w:kern w:val="0"/>
          <w:sz w:val="24"/>
          <w:szCs w:val="24"/>
          <w:lang w:eastAsia="en-GB"/>
          <w14:ligatures w14:val="none"/>
        </w:rPr>
      </w:pPr>
    </w:p>
    <w:p w14:paraId="55072522" w14:textId="77777777" w:rsidR="00D260D8" w:rsidRDefault="00D260D8" w:rsidP="00102181">
      <w:pPr>
        <w:spacing w:after="0" w:line="240" w:lineRule="auto"/>
        <w:rPr>
          <w:rFonts w:ascii="Times New Roman" w:eastAsia="Times New Roman" w:hAnsi="Times New Roman" w:cs="Times New Roman"/>
          <w:color w:val="000000"/>
          <w:kern w:val="0"/>
          <w:sz w:val="24"/>
          <w:szCs w:val="24"/>
          <w:lang w:eastAsia="en-GB"/>
          <w14:ligatures w14:val="none"/>
        </w:rPr>
      </w:pPr>
    </w:p>
    <w:p w14:paraId="41889CE9" w14:textId="77777777" w:rsidR="00D260D8" w:rsidRDefault="00D260D8" w:rsidP="00102181">
      <w:pPr>
        <w:spacing w:after="0" w:line="240" w:lineRule="auto"/>
        <w:rPr>
          <w:rFonts w:ascii="Times New Roman" w:eastAsia="Times New Roman" w:hAnsi="Times New Roman" w:cs="Times New Roman"/>
          <w:color w:val="000000"/>
          <w:kern w:val="0"/>
          <w:sz w:val="24"/>
          <w:szCs w:val="24"/>
          <w:lang w:eastAsia="en-GB"/>
          <w14:ligatures w14:val="none"/>
        </w:rPr>
      </w:pPr>
    </w:p>
    <w:p w14:paraId="42D29B51" w14:textId="77777777" w:rsidR="00D260D8" w:rsidRDefault="00D260D8" w:rsidP="00102181">
      <w:pPr>
        <w:spacing w:after="0" w:line="240" w:lineRule="auto"/>
        <w:rPr>
          <w:rFonts w:ascii="Times New Roman" w:eastAsia="Times New Roman" w:hAnsi="Times New Roman" w:cs="Times New Roman"/>
          <w:color w:val="000000"/>
          <w:kern w:val="0"/>
          <w:sz w:val="24"/>
          <w:szCs w:val="24"/>
          <w:lang w:eastAsia="en-GB"/>
          <w14:ligatures w14:val="none"/>
        </w:rPr>
      </w:pPr>
    </w:p>
    <w:p w14:paraId="43BFA4A4" w14:textId="77777777" w:rsidR="00D260D8" w:rsidRDefault="00D260D8" w:rsidP="00102181">
      <w:pPr>
        <w:spacing w:after="0" w:line="240" w:lineRule="auto"/>
        <w:rPr>
          <w:rFonts w:ascii="Times New Roman" w:eastAsia="Times New Roman" w:hAnsi="Times New Roman" w:cs="Times New Roman"/>
          <w:color w:val="000000"/>
          <w:kern w:val="0"/>
          <w:sz w:val="24"/>
          <w:szCs w:val="24"/>
          <w:lang w:eastAsia="en-GB"/>
          <w14:ligatures w14:val="none"/>
        </w:rPr>
      </w:pPr>
    </w:p>
    <w:p w14:paraId="0D333148" w14:textId="77777777" w:rsidR="00D260D8" w:rsidRDefault="00D260D8" w:rsidP="00102181">
      <w:pPr>
        <w:spacing w:after="0" w:line="240" w:lineRule="auto"/>
        <w:rPr>
          <w:rFonts w:ascii="Times New Roman" w:eastAsia="Times New Roman" w:hAnsi="Times New Roman" w:cs="Times New Roman"/>
          <w:color w:val="000000"/>
          <w:kern w:val="0"/>
          <w:sz w:val="24"/>
          <w:szCs w:val="24"/>
          <w:lang w:eastAsia="en-GB"/>
          <w14:ligatures w14:val="none"/>
        </w:rPr>
      </w:pPr>
    </w:p>
    <w:p w14:paraId="4492B68D" w14:textId="77777777" w:rsidR="00D260D8" w:rsidRDefault="00D260D8" w:rsidP="00102181">
      <w:pPr>
        <w:spacing w:after="0" w:line="240" w:lineRule="auto"/>
        <w:rPr>
          <w:rFonts w:ascii="Times New Roman" w:eastAsia="Times New Roman" w:hAnsi="Times New Roman" w:cs="Times New Roman"/>
          <w:color w:val="000000"/>
          <w:kern w:val="0"/>
          <w:sz w:val="24"/>
          <w:szCs w:val="24"/>
          <w:lang w:eastAsia="en-GB"/>
          <w14:ligatures w14:val="none"/>
        </w:rPr>
      </w:pPr>
    </w:p>
    <w:p w14:paraId="3D760E1C" w14:textId="03323F20" w:rsidR="00102181" w:rsidRDefault="00102181" w:rsidP="00102181">
      <w:pPr>
        <w:pStyle w:val="Heading2"/>
        <w:rPr>
          <w:rFonts w:eastAsia="Times New Roman"/>
          <w:lang w:eastAsia="en-GB"/>
        </w:rPr>
      </w:pPr>
      <w:bookmarkStart w:id="5" w:name="_Toc217079919"/>
      <w:r>
        <w:rPr>
          <w:rFonts w:eastAsia="Times New Roman"/>
          <w:lang w:eastAsia="en-GB"/>
        </w:rPr>
        <w:lastRenderedPageBreak/>
        <w:t>Recommendations</w:t>
      </w:r>
      <w:r w:rsidR="00D260D8">
        <w:rPr>
          <w:rFonts w:eastAsia="Times New Roman"/>
          <w:lang w:eastAsia="en-GB"/>
        </w:rPr>
        <w:t xml:space="preserve"> for Management</w:t>
      </w:r>
      <w:bookmarkEnd w:id="5"/>
    </w:p>
    <w:p w14:paraId="14FD0B9B" w14:textId="77777777" w:rsidR="00D260D8" w:rsidRDefault="00D260D8" w:rsidP="00D260D8">
      <w:pPr>
        <w:rPr>
          <w:lang w:eastAsia="en-GB"/>
        </w:rPr>
      </w:pPr>
    </w:p>
    <w:p w14:paraId="29D742BF" w14:textId="77777777" w:rsidR="00D260D8" w:rsidRPr="00D260D8" w:rsidRDefault="00D260D8" w:rsidP="00D260D8">
      <w:pPr>
        <w:spacing w:after="0" w:line="240" w:lineRule="auto"/>
        <w:rPr>
          <w:rFonts w:ascii="Times New Roman" w:eastAsia="Times New Roman" w:hAnsi="Times New Roman" w:cs="Times New Roman"/>
          <w:color w:val="000000"/>
          <w:kern w:val="0"/>
          <w:sz w:val="24"/>
          <w:szCs w:val="24"/>
          <w:lang w:eastAsia="en-GB"/>
          <w14:ligatures w14:val="none"/>
        </w:rPr>
      </w:pPr>
      <w:r w:rsidRPr="00D260D8">
        <w:rPr>
          <w:rFonts w:ascii="Times New Roman" w:eastAsia="Times New Roman" w:hAnsi="Times New Roman" w:cs="Times New Roman"/>
          <w:color w:val="000000"/>
          <w:kern w:val="0"/>
          <w:sz w:val="24"/>
          <w:szCs w:val="24"/>
          <w:lang w:eastAsia="en-GB"/>
          <w14:ligatures w14:val="none"/>
        </w:rPr>
        <w:t xml:space="preserve">This analysis demonstrates that employee attrition within the organisation is systematically linked to identifiable working conditions and employee characteristics rather than occurring at random. The findings from both the exploratory analysis and the predictive models show that workload intensity, particularly overtime and weekend work, is strongly associated with higher attrition, especially in Sales and Research and Development roles. From an executive perspective, this indicates that attrition should be managed as a workforce planning and job design issue, not solely as an HR outcome. While overtime may be unavoidable in certain periods, sustained excessive workloads appear to increase the likelihood of employee exit. Senior management should therefore prioritise monitoring overtime patterns, </w:t>
      </w:r>
      <w:proofErr w:type="gramStart"/>
      <w:r w:rsidRPr="00D260D8">
        <w:rPr>
          <w:rFonts w:ascii="Times New Roman" w:eastAsia="Times New Roman" w:hAnsi="Times New Roman" w:cs="Times New Roman"/>
          <w:color w:val="000000"/>
          <w:kern w:val="0"/>
          <w:sz w:val="24"/>
          <w:szCs w:val="24"/>
          <w:lang w:eastAsia="en-GB"/>
          <w14:ligatures w14:val="none"/>
        </w:rPr>
        <w:t>improving</w:t>
      </w:r>
      <w:proofErr w:type="gramEnd"/>
      <w:r w:rsidRPr="00D260D8">
        <w:rPr>
          <w:rFonts w:ascii="Times New Roman" w:eastAsia="Times New Roman" w:hAnsi="Times New Roman" w:cs="Times New Roman"/>
          <w:color w:val="000000"/>
          <w:kern w:val="0"/>
          <w:sz w:val="24"/>
          <w:szCs w:val="24"/>
          <w:lang w:eastAsia="en-GB"/>
          <w14:ligatures w14:val="none"/>
        </w:rPr>
        <w:t xml:space="preserve"> capacity planning, and introducing mechanisms to prevent chronic overwork in high-pressure roles. This aligns with established HR research, which consistently links excessive work demands to burnout, reduced engagement, and voluntary turnover (Allen, Bryant and Vardaman, 2010; CIPD, 2025). Addressing workload risks proactively is likely to deliver cost savings by reducing the need for frequent recruitment and protecting organisational knowledge and performance continuity.</w:t>
      </w:r>
    </w:p>
    <w:p w14:paraId="4FB3AFDA" w14:textId="77777777" w:rsidR="00D260D8" w:rsidRDefault="00D260D8" w:rsidP="00D260D8">
      <w:pPr>
        <w:rPr>
          <w:lang w:eastAsia="en-GB"/>
        </w:rPr>
      </w:pPr>
    </w:p>
    <w:p w14:paraId="3F09DBD7" w14:textId="77777777" w:rsidR="00D260D8" w:rsidRPr="00D260D8" w:rsidRDefault="00D260D8" w:rsidP="00D260D8">
      <w:pPr>
        <w:spacing w:after="0" w:line="240" w:lineRule="auto"/>
        <w:rPr>
          <w:rFonts w:ascii="Times New Roman" w:eastAsia="Times New Roman" w:hAnsi="Times New Roman" w:cs="Times New Roman"/>
          <w:color w:val="000000"/>
          <w:kern w:val="0"/>
          <w:sz w:val="24"/>
          <w:szCs w:val="24"/>
          <w:lang w:eastAsia="en-GB"/>
          <w14:ligatures w14:val="none"/>
        </w:rPr>
      </w:pPr>
      <w:r w:rsidRPr="00D260D8">
        <w:rPr>
          <w:rFonts w:ascii="Times New Roman" w:eastAsia="Times New Roman" w:hAnsi="Times New Roman" w:cs="Times New Roman"/>
          <w:color w:val="000000"/>
          <w:kern w:val="0"/>
          <w:sz w:val="24"/>
          <w:szCs w:val="24"/>
          <w:lang w:eastAsia="en-GB"/>
          <w14:ligatures w14:val="none"/>
        </w:rPr>
        <w:t>The findings also highlight early tenure as a critical risk period for attrition. Employees with fewer years in their current role are more likely to leave, suggesting that early experiences, role clarity, and perceived fit play a decisive role in retention outcomes. Senior management should consider strengthening onboarding processes, introducing structured early-career check-ins, and ensuring managers are accountable for supporting new employees during their first years in role. These actions are consistent with established turnover theory, which emphasises that dissatisfaction and withdrawal intentions often develop early if expectations are unmet (Mobley, 1977; Griffeth, Hom and Gaertner, 2000). In addition, the predictive models developed in this project should be used as decision-support tools rather than automated decision-makers. The stronger-performing random forest model can help identify groups of employees who share higher-risk characteristics, allowing managers to prioritise targeted interventions such as development conversations, workload adjustments, or role redesign. Job satisfaction should be treated as a leading indicator within this process, as consistently lower satisfaction among leavers suggests it plays a meaningful role in attrition decisions. Using predictive insights alongside managerial judgment reflects best practice in HR analytics and supports more proactive, evidence-based retention management (</w:t>
      </w:r>
      <w:proofErr w:type="spellStart"/>
      <w:r w:rsidRPr="00D260D8">
        <w:rPr>
          <w:rFonts w:ascii="Times New Roman" w:eastAsia="Times New Roman" w:hAnsi="Times New Roman" w:cs="Times New Roman"/>
          <w:color w:val="000000"/>
          <w:kern w:val="0"/>
          <w:sz w:val="24"/>
          <w:szCs w:val="24"/>
          <w:lang w:eastAsia="en-GB"/>
          <w14:ligatures w14:val="none"/>
        </w:rPr>
        <w:t>Angrave</w:t>
      </w:r>
      <w:proofErr w:type="spellEnd"/>
      <w:r w:rsidRPr="00D260D8">
        <w:rPr>
          <w:rFonts w:ascii="Times New Roman" w:eastAsia="Times New Roman" w:hAnsi="Times New Roman" w:cs="Times New Roman"/>
          <w:color w:val="000000"/>
          <w:kern w:val="0"/>
          <w:sz w:val="24"/>
          <w:szCs w:val="24"/>
          <w:lang w:eastAsia="en-GB"/>
          <w14:ligatures w14:val="none"/>
        </w:rPr>
        <w:t xml:space="preserve"> et al., 2016; Marler and Boudreau, 2017).</w:t>
      </w:r>
    </w:p>
    <w:p w14:paraId="02E0FD28" w14:textId="77777777" w:rsidR="00D260D8" w:rsidRDefault="00D260D8" w:rsidP="00D260D8">
      <w:pPr>
        <w:rPr>
          <w:lang w:eastAsia="en-GB"/>
        </w:rPr>
      </w:pPr>
    </w:p>
    <w:p w14:paraId="78ECD7FE" w14:textId="77777777" w:rsidR="00D260D8" w:rsidRDefault="00D260D8" w:rsidP="00D260D8">
      <w:pPr>
        <w:rPr>
          <w:lang w:eastAsia="en-GB"/>
        </w:rPr>
      </w:pPr>
    </w:p>
    <w:p w14:paraId="44B65059" w14:textId="77777777" w:rsidR="00D260D8" w:rsidRDefault="00D260D8" w:rsidP="00D260D8">
      <w:pPr>
        <w:rPr>
          <w:lang w:eastAsia="en-GB"/>
        </w:rPr>
      </w:pPr>
    </w:p>
    <w:p w14:paraId="10146A61" w14:textId="77777777" w:rsidR="00D260D8" w:rsidRDefault="00D260D8" w:rsidP="00D260D8">
      <w:pPr>
        <w:rPr>
          <w:lang w:eastAsia="en-GB"/>
        </w:rPr>
      </w:pPr>
    </w:p>
    <w:p w14:paraId="48329929" w14:textId="77777777" w:rsidR="00D260D8" w:rsidRDefault="00D260D8" w:rsidP="00D260D8">
      <w:pPr>
        <w:rPr>
          <w:lang w:eastAsia="en-GB"/>
        </w:rPr>
      </w:pPr>
    </w:p>
    <w:p w14:paraId="73A36E47" w14:textId="77777777" w:rsidR="00D260D8" w:rsidRDefault="00D260D8" w:rsidP="00D260D8">
      <w:pPr>
        <w:rPr>
          <w:lang w:eastAsia="en-GB"/>
        </w:rPr>
      </w:pPr>
    </w:p>
    <w:p w14:paraId="78EA6FBF" w14:textId="77777777" w:rsidR="00D260D8" w:rsidRDefault="00D260D8" w:rsidP="00D260D8">
      <w:pPr>
        <w:rPr>
          <w:lang w:eastAsia="en-GB"/>
        </w:rPr>
      </w:pPr>
    </w:p>
    <w:p w14:paraId="789062AD" w14:textId="77777777" w:rsidR="00D260D8" w:rsidRDefault="00D260D8" w:rsidP="00D260D8">
      <w:pPr>
        <w:rPr>
          <w:lang w:eastAsia="en-GB"/>
        </w:rPr>
      </w:pPr>
    </w:p>
    <w:p w14:paraId="1D3D84BC" w14:textId="0A005942" w:rsidR="00D260D8" w:rsidRDefault="00D260D8" w:rsidP="00D260D8">
      <w:pPr>
        <w:pStyle w:val="Heading1"/>
        <w:rPr>
          <w:lang w:eastAsia="en-GB"/>
        </w:rPr>
      </w:pPr>
      <w:bookmarkStart w:id="6" w:name="_Toc217079920"/>
      <w:r>
        <w:rPr>
          <w:lang w:eastAsia="en-GB"/>
        </w:rPr>
        <w:lastRenderedPageBreak/>
        <w:t>Declarations on AI Use</w:t>
      </w:r>
      <w:bookmarkEnd w:id="6"/>
    </w:p>
    <w:p w14:paraId="3827CBFD" w14:textId="041E2C12" w:rsidR="00D260D8" w:rsidRDefault="00D260D8" w:rsidP="00D260D8">
      <w:pPr>
        <w:rPr>
          <w:lang w:eastAsia="en-GB"/>
        </w:rPr>
      </w:pPr>
      <w:r>
        <w:rPr>
          <w:lang w:eastAsia="en-GB"/>
        </w:rPr>
        <w:t xml:space="preserve">I used Chat GPT and gave it my predictive model results for it to interpret them and to give suggestions on improving the model, as well as what nodes to use for proper cleaning. I used it to explain any errors I received during my KNIME and Tableau work. </w:t>
      </w:r>
      <w:r w:rsidR="00DA1FD8">
        <w:rPr>
          <w:lang w:eastAsia="en-GB"/>
        </w:rPr>
        <w:t>And</w:t>
      </w:r>
      <w:r>
        <w:rPr>
          <w:lang w:eastAsia="en-GB"/>
        </w:rPr>
        <w:t xml:space="preserve">, as a glorified google search, to look up jargon, concepts that were lost on me, and basically anything that I needed to brainstorm I had help from ChatGPT. It was also used to find relevant literature to justify the choices I had made in my work and what I could do to omit things that were not justified. Later I used it to create a bibliography and used it for help in my writing, editing, and properly referencing any concepts that I was using. The use was extensive but nevertheless, assistive only. I will be adding my work in TABLEAU and KNIME with the files so I will not be adding any appendices for it. </w:t>
      </w:r>
      <w:r w:rsidR="00DA1FD8">
        <w:rPr>
          <w:lang w:eastAsia="en-GB"/>
        </w:rPr>
        <w:t xml:space="preserve">Which explains why I have not imported any worksheets to this file. </w:t>
      </w:r>
    </w:p>
    <w:p w14:paraId="0CB8C1B3" w14:textId="77777777" w:rsidR="00DA1FD8" w:rsidRDefault="00DA1FD8" w:rsidP="00D260D8">
      <w:pPr>
        <w:rPr>
          <w:lang w:eastAsia="en-GB"/>
        </w:rPr>
      </w:pPr>
    </w:p>
    <w:p w14:paraId="39E95228" w14:textId="77777777" w:rsidR="00DA1FD8" w:rsidRDefault="00DA1FD8" w:rsidP="00D260D8">
      <w:pPr>
        <w:rPr>
          <w:lang w:eastAsia="en-GB"/>
        </w:rPr>
      </w:pPr>
    </w:p>
    <w:p w14:paraId="2212C6F7" w14:textId="77777777" w:rsidR="00DA1FD8" w:rsidRDefault="00DA1FD8" w:rsidP="00D260D8">
      <w:pPr>
        <w:rPr>
          <w:lang w:eastAsia="en-GB"/>
        </w:rPr>
      </w:pPr>
    </w:p>
    <w:p w14:paraId="376A0F33" w14:textId="77777777" w:rsidR="00DA1FD8" w:rsidRDefault="00DA1FD8" w:rsidP="00D260D8">
      <w:pPr>
        <w:rPr>
          <w:lang w:eastAsia="en-GB"/>
        </w:rPr>
      </w:pPr>
    </w:p>
    <w:p w14:paraId="799CD738" w14:textId="77777777" w:rsidR="00DA1FD8" w:rsidRDefault="00DA1FD8" w:rsidP="00D260D8">
      <w:pPr>
        <w:rPr>
          <w:lang w:eastAsia="en-GB"/>
        </w:rPr>
      </w:pPr>
    </w:p>
    <w:p w14:paraId="4C1B0C93" w14:textId="77777777" w:rsidR="00DA1FD8" w:rsidRDefault="00DA1FD8" w:rsidP="00D260D8">
      <w:pPr>
        <w:rPr>
          <w:lang w:eastAsia="en-GB"/>
        </w:rPr>
      </w:pPr>
    </w:p>
    <w:p w14:paraId="529655CE" w14:textId="77777777" w:rsidR="00DA1FD8" w:rsidRDefault="00DA1FD8" w:rsidP="00D260D8">
      <w:pPr>
        <w:rPr>
          <w:lang w:eastAsia="en-GB"/>
        </w:rPr>
      </w:pPr>
    </w:p>
    <w:p w14:paraId="385025F1" w14:textId="77777777" w:rsidR="00DA1FD8" w:rsidRDefault="00DA1FD8" w:rsidP="00D260D8">
      <w:pPr>
        <w:rPr>
          <w:lang w:eastAsia="en-GB"/>
        </w:rPr>
      </w:pPr>
    </w:p>
    <w:p w14:paraId="3C242924" w14:textId="77777777" w:rsidR="00DA1FD8" w:rsidRDefault="00DA1FD8" w:rsidP="00D260D8">
      <w:pPr>
        <w:rPr>
          <w:lang w:eastAsia="en-GB"/>
        </w:rPr>
      </w:pPr>
    </w:p>
    <w:p w14:paraId="2707078C" w14:textId="77777777" w:rsidR="00DA1FD8" w:rsidRDefault="00DA1FD8" w:rsidP="00D260D8">
      <w:pPr>
        <w:rPr>
          <w:lang w:eastAsia="en-GB"/>
        </w:rPr>
      </w:pPr>
    </w:p>
    <w:p w14:paraId="051B5B6F" w14:textId="77777777" w:rsidR="00DA1FD8" w:rsidRDefault="00DA1FD8" w:rsidP="00D260D8">
      <w:pPr>
        <w:rPr>
          <w:lang w:eastAsia="en-GB"/>
        </w:rPr>
      </w:pPr>
    </w:p>
    <w:p w14:paraId="68DBA0FD" w14:textId="77777777" w:rsidR="00DA1FD8" w:rsidRDefault="00DA1FD8" w:rsidP="00D260D8">
      <w:pPr>
        <w:rPr>
          <w:lang w:eastAsia="en-GB"/>
        </w:rPr>
      </w:pPr>
    </w:p>
    <w:p w14:paraId="61227724" w14:textId="77777777" w:rsidR="00DA1FD8" w:rsidRDefault="00DA1FD8" w:rsidP="00D260D8">
      <w:pPr>
        <w:rPr>
          <w:lang w:eastAsia="en-GB"/>
        </w:rPr>
      </w:pPr>
    </w:p>
    <w:p w14:paraId="28AF12DA" w14:textId="77777777" w:rsidR="00DA1FD8" w:rsidRDefault="00DA1FD8" w:rsidP="00D260D8">
      <w:pPr>
        <w:rPr>
          <w:lang w:eastAsia="en-GB"/>
        </w:rPr>
      </w:pPr>
    </w:p>
    <w:p w14:paraId="56F5EFEA" w14:textId="77777777" w:rsidR="00DA1FD8" w:rsidRDefault="00DA1FD8" w:rsidP="00D260D8">
      <w:pPr>
        <w:rPr>
          <w:lang w:eastAsia="en-GB"/>
        </w:rPr>
      </w:pPr>
    </w:p>
    <w:p w14:paraId="4618AEBF" w14:textId="77777777" w:rsidR="00DA1FD8" w:rsidRDefault="00DA1FD8" w:rsidP="00D260D8">
      <w:pPr>
        <w:rPr>
          <w:lang w:eastAsia="en-GB"/>
        </w:rPr>
      </w:pPr>
    </w:p>
    <w:p w14:paraId="37C49548" w14:textId="77777777" w:rsidR="00DA1FD8" w:rsidRDefault="00DA1FD8" w:rsidP="00D260D8">
      <w:pPr>
        <w:rPr>
          <w:lang w:eastAsia="en-GB"/>
        </w:rPr>
      </w:pPr>
    </w:p>
    <w:p w14:paraId="0B7A9AA1" w14:textId="77777777" w:rsidR="00DA1FD8" w:rsidRDefault="00DA1FD8" w:rsidP="00D260D8">
      <w:pPr>
        <w:rPr>
          <w:lang w:eastAsia="en-GB"/>
        </w:rPr>
      </w:pPr>
    </w:p>
    <w:p w14:paraId="5F405F37" w14:textId="77777777" w:rsidR="00DA1FD8" w:rsidRDefault="00DA1FD8" w:rsidP="00D260D8">
      <w:pPr>
        <w:rPr>
          <w:lang w:eastAsia="en-GB"/>
        </w:rPr>
      </w:pPr>
    </w:p>
    <w:p w14:paraId="4676DEBC" w14:textId="77777777" w:rsidR="00DA1FD8" w:rsidRDefault="00DA1FD8" w:rsidP="00D260D8">
      <w:pPr>
        <w:rPr>
          <w:lang w:eastAsia="en-GB"/>
        </w:rPr>
      </w:pPr>
    </w:p>
    <w:p w14:paraId="456E1F87" w14:textId="77777777" w:rsidR="00DA1FD8" w:rsidRDefault="00DA1FD8" w:rsidP="00D260D8">
      <w:pPr>
        <w:rPr>
          <w:lang w:eastAsia="en-GB"/>
        </w:rPr>
      </w:pPr>
    </w:p>
    <w:p w14:paraId="4FDD9246" w14:textId="77777777" w:rsidR="00DA1FD8" w:rsidRDefault="00DA1FD8" w:rsidP="00D260D8">
      <w:pPr>
        <w:rPr>
          <w:lang w:eastAsia="en-GB"/>
        </w:rPr>
      </w:pPr>
    </w:p>
    <w:p w14:paraId="2F92409B" w14:textId="77777777" w:rsidR="00DA1FD8" w:rsidRDefault="00DA1FD8" w:rsidP="00D260D8">
      <w:pPr>
        <w:rPr>
          <w:lang w:eastAsia="en-GB"/>
        </w:rPr>
      </w:pPr>
    </w:p>
    <w:p w14:paraId="74CFFBC0" w14:textId="005C8727" w:rsidR="00DA1FD8" w:rsidRDefault="00DA1FD8" w:rsidP="00DA1FD8">
      <w:pPr>
        <w:pStyle w:val="Heading1"/>
        <w:rPr>
          <w:lang w:eastAsia="en-GB"/>
        </w:rPr>
      </w:pPr>
      <w:bookmarkStart w:id="7" w:name="_Toc217079921"/>
      <w:r>
        <w:rPr>
          <w:lang w:eastAsia="en-GB"/>
        </w:rPr>
        <w:lastRenderedPageBreak/>
        <w:t>References</w:t>
      </w:r>
      <w:bookmarkEnd w:id="7"/>
    </w:p>
    <w:p w14:paraId="67270B30" w14:textId="5CC2A4B6" w:rsidR="00DA1FD8" w:rsidRDefault="00DA1FD8" w:rsidP="00DA1FD8">
      <w:pPr>
        <w:pStyle w:val="p1"/>
      </w:pPr>
      <w:r>
        <w:t xml:space="preserve">Aggarwal, C.C. (2017) </w:t>
      </w:r>
      <w:r>
        <w:rPr>
          <w:i/>
          <w:iCs/>
        </w:rPr>
        <w:t>Outlier Analysis</w:t>
      </w:r>
      <w:r>
        <w:t xml:space="preserve">. 2nd </w:t>
      </w:r>
      <w:proofErr w:type="spellStart"/>
      <w:r>
        <w:t>edn</w:t>
      </w:r>
      <w:proofErr w:type="spellEnd"/>
      <w:r>
        <w:t>. Cham: Springer. Available at: https://link.springer.com/book/10.1007/978-3-319-47578-3 (Accessed: 19 December 2025).</w:t>
      </w:r>
    </w:p>
    <w:p w14:paraId="757101CB" w14:textId="4922F29F" w:rsidR="00DA1FD8" w:rsidRDefault="00DA1FD8" w:rsidP="00DA1FD8">
      <w:pPr>
        <w:pStyle w:val="p1"/>
      </w:pPr>
      <w:r>
        <w:t xml:space="preserve">Allen, D.G., Bryant, P.C. and Vardaman, J.M. (2010) ‘Retaining talent: Replacing misconceptions with evidence-based strategies’, </w:t>
      </w:r>
      <w:r>
        <w:rPr>
          <w:i/>
          <w:iCs/>
        </w:rPr>
        <w:t>Academy of Management Perspectives</w:t>
      </w:r>
      <w:r>
        <w:t>, 24(2), pp. 48–64. Available at: https://wrap.warwick.ac.uk/id/eprint/57090/ (Accessed: 19 December 2025).</w:t>
      </w:r>
    </w:p>
    <w:p w14:paraId="4AE8EB22" w14:textId="50D9A886" w:rsidR="00DA1FD8" w:rsidRDefault="00DA1FD8" w:rsidP="00DA1FD8">
      <w:pPr>
        <w:pStyle w:val="p1"/>
      </w:pPr>
      <w:proofErr w:type="spellStart"/>
      <w:r>
        <w:t>Angrave</w:t>
      </w:r>
      <w:proofErr w:type="spellEnd"/>
      <w:r>
        <w:t xml:space="preserve">, D., Charlwood, A., Kirkpatrick, I., Lawrence, M. and Stuart, M. (2016) ‘HR and analytics: Why HR is set to fail the big data challenge’, </w:t>
      </w:r>
      <w:r>
        <w:rPr>
          <w:i/>
          <w:iCs/>
        </w:rPr>
        <w:t>Human Resource Management Journal</w:t>
      </w:r>
      <w:r>
        <w:t>, 26(1), pp. 1–18. Available at: https://onlinelibrary.wiley.com/doi/abs/10.1111/1748-8583.12090 (Accessed: 19 December 2025).</w:t>
      </w:r>
    </w:p>
    <w:p w14:paraId="38FB12E9" w14:textId="049485B2" w:rsidR="00DA1FD8" w:rsidRDefault="00DA1FD8" w:rsidP="00DA1FD8">
      <w:pPr>
        <w:pStyle w:val="p1"/>
      </w:pPr>
      <w:proofErr w:type="spellStart"/>
      <w:r>
        <w:t>Breiman</w:t>
      </w:r>
      <w:proofErr w:type="spellEnd"/>
      <w:r>
        <w:t xml:space="preserve">, L. (2001) ‘Random Forests’, </w:t>
      </w:r>
      <w:r>
        <w:rPr>
          <w:i/>
          <w:iCs/>
        </w:rPr>
        <w:t>Machine Learning</w:t>
      </w:r>
      <w:r>
        <w:t>, 45(1), pp. 5–32. Available at: https://link.springer.com/article/10.1023/A:1010933404324 (Accessed: 19 December 2025).</w:t>
      </w:r>
    </w:p>
    <w:p w14:paraId="16CF4152" w14:textId="03D10409" w:rsidR="00DA1FD8" w:rsidRDefault="00DA1FD8" w:rsidP="00DA1FD8">
      <w:pPr>
        <w:pStyle w:val="p1"/>
      </w:pPr>
      <w:r>
        <w:t xml:space="preserve">Chartered Institute of Personnel and Development (CIPD) (2025) </w:t>
      </w:r>
      <w:r>
        <w:rPr>
          <w:i/>
          <w:iCs/>
        </w:rPr>
        <w:t>Employee turnover and retention: Factsheet</w:t>
      </w:r>
      <w:r>
        <w:t>. Available at: https://www.cipd.org/uk/knowledge/factsheets/turnover-retention-factsheet/ (Accessed: 19 December 2025).</w:t>
      </w:r>
    </w:p>
    <w:p w14:paraId="15ABFAA4" w14:textId="1DE56143" w:rsidR="00DA1FD8" w:rsidRDefault="00DA1FD8" w:rsidP="00DA1FD8">
      <w:pPr>
        <w:pStyle w:val="p1"/>
      </w:pPr>
      <w:r>
        <w:t xml:space="preserve">CRISP-DM (2000) </w:t>
      </w:r>
      <w:r>
        <w:rPr>
          <w:i/>
          <w:iCs/>
        </w:rPr>
        <w:t>CRISP-DM 1.0: Step-by-step data mining guide</w:t>
      </w:r>
      <w:r>
        <w:t>. Available at: https://www.kde.cs.uni-kassel.de/lehre/ws2012-13/kdd/files/CRISPWP-0800.pdf (Accessed: 19 December 2025).</w:t>
      </w:r>
    </w:p>
    <w:p w14:paraId="0540B748" w14:textId="3A2E50FA" w:rsidR="00DA1FD8" w:rsidRDefault="00DA1FD8" w:rsidP="00DA1FD8">
      <w:pPr>
        <w:pStyle w:val="p1"/>
      </w:pPr>
      <w:r>
        <w:t xml:space="preserve">Fawcett, T. (2006) ‘An introduction to ROC analysis’, </w:t>
      </w:r>
      <w:r>
        <w:rPr>
          <w:i/>
          <w:iCs/>
        </w:rPr>
        <w:t>Pattern Recognition Letters</w:t>
      </w:r>
      <w:r>
        <w:t>, 27(8), pp. 861–874. Available at: https://www.sciencedirect.com/science/article/pii/S016786550500303X (Accessed: 19 December 2025).</w:t>
      </w:r>
    </w:p>
    <w:p w14:paraId="613FCF56" w14:textId="4FCE58B7" w:rsidR="00DA1FD8" w:rsidRDefault="00DA1FD8" w:rsidP="00DA1FD8">
      <w:pPr>
        <w:pStyle w:val="p1"/>
      </w:pPr>
      <w:r>
        <w:t xml:space="preserve">Griffeth, R.W., Hom, P.W. and Gaertner, S. (2000) ‘A meta-analysis of antecedents and correlates of employee turnover: Update, moderator tests, and research implications for the next millennium’, </w:t>
      </w:r>
      <w:r>
        <w:rPr>
          <w:i/>
          <w:iCs/>
        </w:rPr>
        <w:t>Journal of Management</w:t>
      </w:r>
      <w:r>
        <w:t>, 26(3), pp. 463–488. Available at: https://www.sciencedirect.com/science/article/abs/pii/S014920630000043X (Accessed: 19 December 2025).</w:t>
      </w:r>
    </w:p>
    <w:p w14:paraId="30104886" w14:textId="573CBA92" w:rsidR="00DA1FD8" w:rsidRDefault="00DA1FD8" w:rsidP="00DA1FD8">
      <w:pPr>
        <w:pStyle w:val="p1"/>
      </w:pPr>
      <w:r>
        <w:t xml:space="preserve">Hom, P.W. (1984) ‘The validity of Mobley’s (1977) model of employee turnover’, </w:t>
      </w:r>
      <w:r>
        <w:rPr>
          <w:i/>
          <w:iCs/>
        </w:rPr>
        <w:t>Journal of Applied Psychology</w:t>
      </w:r>
      <w:r>
        <w:t>, 69(3), pp. 370–379. Available at: https://www.sciencedirect.com/science/article/pii/0030507384900011 (Accessed: 19 December 2025).</w:t>
      </w:r>
    </w:p>
    <w:p w14:paraId="5008E445" w14:textId="40ECCB36" w:rsidR="00DA1FD8" w:rsidRDefault="00DA1FD8" w:rsidP="00DA1FD8">
      <w:pPr>
        <w:pStyle w:val="p1"/>
      </w:pPr>
      <w:r>
        <w:t xml:space="preserve">James, G., Witten, D., Hastie, T. and </w:t>
      </w:r>
      <w:proofErr w:type="spellStart"/>
      <w:r>
        <w:t>Tibshirani</w:t>
      </w:r>
      <w:proofErr w:type="spellEnd"/>
      <w:r>
        <w:t xml:space="preserve">, R. (2021) </w:t>
      </w:r>
      <w:r>
        <w:rPr>
          <w:i/>
          <w:iCs/>
        </w:rPr>
        <w:t>An Introduction to Statistical Learning: With Applications in R</w:t>
      </w:r>
      <w:r>
        <w:t xml:space="preserve">. 2nd </w:t>
      </w:r>
      <w:proofErr w:type="spellStart"/>
      <w:r>
        <w:t>edn</w:t>
      </w:r>
      <w:proofErr w:type="spellEnd"/>
      <w:r>
        <w:t>. New York: Springer. Available at: https://www.casact.org/sites/default/files/2022-12/James-G.-et-al.-2nd-edition-Springer-2021.pdf (Accessed: 19 December 2025).</w:t>
      </w:r>
    </w:p>
    <w:p w14:paraId="65CED82D" w14:textId="0829A6B3" w:rsidR="00DA1FD8" w:rsidRDefault="00DA1FD8" w:rsidP="00DA1FD8">
      <w:pPr>
        <w:pStyle w:val="p1"/>
      </w:pPr>
      <w:r>
        <w:t xml:space="preserve">KNIME (2025) </w:t>
      </w:r>
      <w:r>
        <w:rPr>
          <w:i/>
          <w:iCs/>
        </w:rPr>
        <w:t>Scorer (confusion matrix and accuracy statistics) node documentation</w:t>
      </w:r>
      <w:r>
        <w:t xml:space="preserve">. Available at: </w:t>
      </w:r>
      <w:r>
        <w:lastRenderedPageBreak/>
        <w:t>https://hub.knime.com/knime/extensions/org.knime.features.base/latest/org.knime.base.node.mine.scorer.accuracy.AccuracyScorer2NodeFactory (Accessed: 19 December 2025).</w:t>
      </w:r>
    </w:p>
    <w:p w14:paraId="2B422C37" w14:textId="476EFE96" w:rsidR="00DA1FD8" w:rsidRDefault="00DA1FD8" w:rsidP="00DA1FD8">
      <w:pPr>
        <w:pStyle w:val="p1"/>
      </w:pPr>
      <w:r>
        <w:t xml:space="preserve">Kuhn, M. and Johnson, K. (2019) </w:t>
      </w:r>
      <w:r>
        <w:rPr>
          <w:i/>
          <w:iCs/>
        </w:rPr>
        <w:t>Feature Engineering and Selection: A Practical Approach for Predictive Models</w:t>
      </w:r>
      <w:r>
        <w:t>. Boca Raton: CRC Press. Available at: https://www.taylorfrancis.com/books/mono/10.1201/9781315108230/feature-engineering-selection-max-kuhn-kjell-johnson (Accessed: 19 December 2025).</w:t>
      </w:r>
    </w:p>
    <w:p w14:paraId="366B8B16" w14:textId="0F68ED94" w:rsidR="00DA1FD8" w:rsidRDefault="00DA1FD8" w:rsidP="00DA1FD8">
      <w:pPr>
        <w:pStyle w:val="p1"/>
      </w:pPr>
      <w:r>
        <w:t xml:space="preserve">Marler, J.H. and Boudreau, J.W. (2017) ‘An evidence-based review of HR analytics’, </w:t>
      </w:r>
      <w:r>
        <w:rPr>
          <w:i/>
          <w:iCs/>
        </w:rPr>
        <w:t>The International Journal of Human Resource Management</w:t>
      </w:r>
      <w:r>
        <w:t>, 28(1), pp. 3–26. Available at: https://www.tandfonline.com/doi/full/10.1080/09585192.2016.1244699 (Accessed: 19 December 2025).</w:t>
      </w:r>
    </w:p>
    <w:p w14:paraId="28CB65BF" w14:textId="729669E2" w:rsidR="00DA1FD8" w:rsidRDefault="00DA1FD8" w:rsidP="00DA1FD8">
      <w:pPr>
        <w:pStyle w:val="p1"/>
      </w:pPr>
      <w:r>
        <w:t xml:space="preserve">Mitchell, T.R., Holtom, B.C., Lee, T.W., Sablynski, C.J. and Erez, M. (2001) ‘Why people stay: Using job embeddedness to predict voluntary turnover’, </w:t>
      </w:r>
      <w:r>
        <w:rPr>
          <w:i/>
          <w:iCs/>
        </w:rPr>
        <w:t>Academy of Management Journal</w:t>
      </w:r>
      <w:r>
        <w:t>, 44(6), pp. 1102–1122. Available at: https://innovation.technion.ac.il/wp-content/uploads/2021/11/mitchell_embeddedness.pdf (Accessed: 19 December 2025).</w:t>
      </w:r>
    </w:p>
    <w:p w14:paraId="28A2BB52" w14:textId="37EB947F" w:rsidR="00DA1FD8" w:rsidRDefault="00DA1FD8" w:rsidP="006813FD">
      <w:pPr>
        <w:pStyle w:val="p1"/>
      </w:pPr>
      <w:r>
        <w:t xml:space="preserve">Mobley, W.H. (1977) ‘Intermediate linkages in the relationship between job satisfaction and employee turnover’, </w:t>
      </w:r>
      <w:r>
        <w:rPr>
          <w:i/>
          <w:iCs/>
        </w:rPr>
        <w:t>Journal of Applied Psychology</w:t>
      </w:r>
      <w:r>
        <w:t>, 62(2), pp. 237–240.</w:t>
      </w:r>
    </w:p>
    <w:p w14:paraId="3B64292B" w14:textId="29E5DE85" w:rsidR="00DA1FD8" w:rsidRDefault="00DA1FD8" w:rsidP="00DA1FD8">
      <w:pPr>
        <w:pStyle w:val="p1"/>
      </w:pPr>
      <w:r>
        <w:t xml:space="preserve">Saito, T. and </w:t>
      </w:r>
      <w:proofErr w:type="spellStart"/>
      <w:r>
        <w:t>Rehmsmeier</w:t>
      </w:r>
      <w:proofErr w:type="spellEnd"/>
      <w:r>
        <w:t xml:space="preserve">, M. (2015) ‘The precision–recall plot is more informative than the ROC plot when evaluating binary classifiers on imbalanced datasets’, </w:t>
      </w:r>
      <w:r>
        <w:rPr>
          <w:i/>
          <w:iCs/>
        </w:rPr>
        <w:t>PLOS ONE</w:t>
      </w:r>
      <w:r>
        <w:t>, 10(3), e0118432. Available at: https://journals.plos.org/plosone/article?id=10.1371/journal.pone.0118432 (Accessed: 19 December 2025).</w:t>
      </w:r>
    </w:p>
    <w:p w14:paraId="758E5A2E" w14:textId="3A2EA111" w:rsidR="00DA1FD8" w:rsidRDefault="00DA1FD8" w:rsidP="00DA1FD8">
      <w:pPr>
        <w:pStyle w:val="p1"/>
      </w:pPr>
      <w:r>
        <w:t xml:space="preserve">Shearer, C. (2000) ‘The CRISP-DM model: The new blueprint for data mining’, </w:t>
      </w:r>
      <w:r>
        <w:rPr>
          <w:i/>
          <w:iCs/>
        </w:rPr>
        <w:t>Journal of Data Warehousing</w:t>
      </w:r>
      <w:r>
        <w:t>, 5(4), pp. 13–22. Available at: https://mineracaodedados.files.wordpress.com/2012/04/the-crisp-dm-model-the-new-blueprint-for-data-mining-shearer-colin.pdf (Accessed: 19 December 2025).</w:t>
      </w:r>
    </w:p>
    <w:p w14:paraId="712686BA" w14:textId="77777777" w:rsidR="00DA1FD8" w:rsidRDefault="00DA1FD8" w:rsidP="00DA1FD8">
      <w:pPr>
        <w:pStyle w:val="p1"/>
      </w:pPr>
      <w:r>
        <w:t xml:space="preserve">van Buuren, S. (2018) </w:t>
      </w:r>
      <w:r>
        <w:rPr>
          <w:i/>
          <w:iCs/>
        </w:rPr>
        <w:t>Flexible Imputation of Missing Data</w:t>
      </w:r>
      <w:r>
        <w:t xml:space="preserve">. 2nd </w:t>
      </w:r>
      <w:proofErr w:type="spellStart"/>
      <w:r>
        <w:t>edn</w:t>
      </w:r>
      <w:proofErr w:type="spellEnd"/>
      <w:r>
        <w:t>. Boca Raton: CRC Press. Available at: https://stefvanbuuren.name/fimd/ (Accessed: 19 December 2025).</w:t>
      </w:r>
    </w:p>
    <w:p w14:paraId="313A9439" w14:textId="77777777" w:rsidR="00DA1FD8" w:rsidRPr="00DA1FD8" w:rsidRDefault="00DA1FD8" w:rsidP="00DA1FD8">
      <w:pPr>
        <w:rPr>
          <w:lang w:eastAsia="en-GB"/>
        </w:rPr>
      </w:pPr>
    </w:p>
    <w:p w14:paraId="60081112" w14:textId="77777777" w:rsidR="00D260D8" w:rsidRDefault="00D260D8" w:rsidP="00D260D8">
      <w:pPr>
        <w:rPr>
          <w:lang w:eastAsia="en-GB"/>
        </w:rPr>
      </w:pPr>
    </w:p>
    <w:p w14:paraId="497F837F" w14:textId="77777777" w:rsidR="00D260D8" w:rsidRPr="00D260D8" w:rsidRDefault="00D260D8" w:rsidP="00D260D8">
      <w:pPr>
        <w:rPr>
          <w:lang w:eastAsia="en-GB"/>
        </w:rPr>
      </w:pPr>
    </w:p>
    <w:p w14:paraId="33727079" w14:textId="77777777" w:rsidR="00102181" w:rsidRPr="00102181" w:rsidRDefault="00102181" w:rsidP="00102181">
      <w:pPr>
        <w:rPr>
          <w:lang w:eastAsia="en-GB"/>
        </w:rPr>
      </w:pPr>
    </w:p>
    <w:p w14:paraId="38FF6195" w14:textId="77777777" w:rsidR="00102181" w:rsidRDefault="00102181" w:rsidP="00102181">
      <w:pPr>
        <w:spacing w:after="0" w:line="240" w:lineRule="auto"/>
        <w:rPr>
          <w:rFonts w:ascii="Times New Roman" w:eastAsia="Times New Roman" w:hAnsi="Times New Roman" w:cs="Times New Roman"/>
          <w:color w:val="000000"/>
          <w:kern w:val="0"/>
          <w:sz w:val="24"/>
          <w:szCs w:val="24"/>
          <w:lang w:eastAsia="en-GB"/>
          <w14:ligatures w14:val="none"/>
        </w:rPr>
      </w:pPr>
    </w:p>
    <w:p w14:paraId="5615C850" w14:textId="77777777" w:rsidR="00102181" w:rsidRPr="00102181" w:rsidRDefault="00102181" w:rsidP="00102181">
      <w:pPr>
        <w:spacing w:after="0" w:line="240" w:lineRule="auto"/>
        <w:rPr>
          <w:rFonts w:ascii="Times New Roman" w:eastAsia="Times New Roman" w:hAnsi="Times New Roman" w:cs="Times New Roman"/>
          <w:color w:val="000000"/>
          <w:kern w:val="0"/>
          <w:sz w:val="24"/>
          <w:szCs w:val="24"/>
          <w:lang w:eastAsia="en-GB"/>
          <w14:ligatures w14:val="none"/>
        </w:rPr>
      </w:pPr>
    </w:p>
    <w:p w14:paraId="1CF3B17E" w14:textId="77777777" w:rsidR="00102181" w:rsidRPr="00102181" w:rsidRDefault="00102181" w:rsidP="00102181">
      <w:pPr>
        <w:rPr>
          <w:lang w:eastAsia="en-GB"/>
        </w:rPr>
      </w:pPr>
    </w:p>
    <w:p w14:paraId="76C1603A" w14:textId="77777777" w:rsidR="00102181" w:rsidRPr="00102181" w:rsidRDefault="00102181" w:rsidP="00102181">
      <w:pPr>
        <w:pStyle w:val="Heading2"/>
      </w:pPr>
    </w:p>
    <w:p w14:paraId="4ABD6C34" w14:textId="6E353D2F" w:rsidR="00797A65" w:rsidRPr="00C923C6" w:rsidRDefault="00797A65" w:rsidP="00DA5405"/>
    <w:sectPr w:rsidR="00797A65" w:rsidRPr="00C923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AA"/>
    <w:rsid w:val="00102181"/>
    <w:rsid w:val="00492C20"/>
    <w:rsid w:val="00555B6E"/>
    <w:rsid w:val="006259F1"/>
    <w:rsid w:val="006813FD"/>
    <w:rsid w:val="00797A65"/>
    <w:rsid w:val="008925B5"/>
    <w:rsid w:val="00A26E91"/>
    <w:rsid w:val="00B8304B"/>
    <w:rsid w:val="00C139E0"/>
    <w:rsid w:val="00C847F2"/>
    <w:rsid w:val="00C923C6"/>
    <w:rsid w:val="00CF69AA"/>
    <w:rsid w:val="00D260D8"/>
    <w:rsid w:val="00DA1FD8"/>
    <w:rsid w:val="00DA540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6CDE39E7"/>
  <w15:chartTrackingRefBased/>
  <w15:docId w15:val="{87B52FB8-CBE8-7846-A03E-CFB40042A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A65"/>
    <w:pPr>
      <w:spacing w:line="259" w:lineRule="auto"/>
    </w:pPr>
    <w:rPr>
      <w:sz w:val="22"/>
      <w:szCs w:val="22"/>
    </w:rPr>
  </w:style>
  <w:style w:type="paragraph" w:styleId="Heading1">
    <w:name w:val="heading 1"/>
    <w:basedOn w:val="Normal"/>
    <w:next w:val="Normal"/>
    <w:link w:val="Heading1Char"/>
    <w:uiPriority w:val="9"/>
    <w:qFormat/>
    <w:rsid w:val="00CF69A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69A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9AA"/>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9AA"/>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CF69AA"/>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CF69AA"/>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CF69AA"/>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CF69AA"/>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CF69AA"/>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6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9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9AA"/>
    <w:rPr>
      <w:rFonts w:eastAsiaTheme="majorEastAsia" w:cstheme="majorBidi"/>
      <w:color w:val="272727" w:themeColor="text1" w:themeTint="D8"/>
    </w:rPr>
  </w:style>
  <w:style w:type="paragraph" w:styleId="Title">
    <w:name w:val="Title"/>
    <w:basedOn w:val="Normal"/>
    <w:next w:val="Normal"/>
    <w:link w:val="TitleChar"/>
    <w:uiPriority w:val="10"/>
    <w:qFormat/>
    <w:rsid w:val="00CF6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9AA"/>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9AA"/>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CF69AA"/>
    <w:rPr>
      <w:i/>
      <w:iCs/>
      <w:color w:val="404040" w:themeColor="text1" w:themeTint="BF"/>
    </w:rPr>
  </w:style>
  <w:style w:type="paragraph" w:styleId="ListParagraph">
    <w:name w:val="List Paragraph"/>
    <w:basedOn w:val="Normal"/>
    <w:uiPriority w:val="34"/>
    <w:qFormat/>
    <w:rsid w:val="00CF69AA"/>
    <w:pPr>
      <w:spacing w:line="278" w:lineRule="auto"/>
      <w:ind w:left="720"/>
      <w:contextualSpacing/>
    </w:pPr>
    <w:rPr>
      <w:sz w:val="24"/>
      <w:szCs w:val="24"/>
    </w:rPr>
  </w:style>
  <w:style w:type="character" w:styleId="IntenseEmphasis">
    <w:name w:val="Intense Emphasis"/>
    <w:basedOn w:val="DefaultParagraphFont"/>
    <w:uiPriority w:val="21"/>
    <w:qFormat/>
    <w:rsid w:val="00CF69AA"/>
    <w:rPr>
      <w:i/>
      <w:iCs/>
      <w:color w:val="0F4761" w:themeColor="accent1" w:themeShade="BF"/>
    </w:rPr>
  </w:style>
  <w:style w:type="paragraph" w:styleId="IntenseQuote">
    <w:name w:val="Intense Quote"/>
    <w:basedOn w:val="Normal"/>
    <w:next w:val="Normal"/>
    <w:link w:val="IntenseQuoteChar"/>
    <w:uiPriority w:val="30"/>
    <w:qFormat/>
    <w:rsid w:val="00CF69A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CF69AA"/>
    <w:rPr>
      <w:i/>
      <w:iCs/>
      <w:color w:val="0F4761" w:themeColor="accent1" w:themeShade="BF"/>
    </w:rPr>
  </w:style>
  <w:style w:type="character" w:styleId="IntenseReference">
    <w:name w:val="Intense Reference"/>
    <w:basedOn w:val="DefaultParagraphFont"/>
    <w:uiPriority w:val="32"/>
    <w:qFormat/>
    <w:rsid w:val="00CF69AA"/>
    <w:rPr>
      <w:b/>
      <w:bCs/>
      <w:smallCaps/>
      <w:color w:val="0F4761" w:themeColor="accent1" w:themeShade="BF"/>
      <w:spacing w:val="5"/>
    </w:rPr>
  </w:style>
  <w:style w:type="character" w:customStyle="1" w:styleId="apple-converted-space">
    <w:name w:val="apple-converted-space"/>
    <w:basedOn w:val="DefaultParagraphFont"/>
    <w:rsid w:val="00102181"/>
  </w:style>
  <w:style w:type="paragraph" w:styleId="TOCHeading">
    <w:name w:val="TOC Heading"/>
    <w:basedOn w:val="Heading1"/>
    <w:next w:val="Normal"/>
    <w:uiPriority w:val="39"/>
    <w:unhideWhenUsed/>
    <w:qFormat/>
    <w:rsid w:val="00DA1FD8"/>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A1FD8"/>
    <w:pPr>
      <w:spacing w:before="120" w:after="0"/>
    </w:pPr>
    <w:rPr>
      <w:rFonts w:cs="Times New Roman"/>
      <w:b/>
      <w:bCs/>
      <w:i/>
      <w:iCs/>
      <w:sz w:val="24"/>
      <w:szCs w:val="28"/>
    </w:rPr>
  </w:style>
  <w:style w:type="paragraph" w:styleId="TOC2">
    <w:name w:val="toc 2"/>
    <w:basedOn w:val="Normal"/>
    <w:next w:val="Normal"/>
    <w:autoRedefine/>
    <w:uiPriority w:val="39"/>
    <w:unhideWhenUsed/>
    <w:rsid w:val="00DA1FD8"/>
    <w:pPr>
      <w:spacing w:before="120" w:after="0"/>
      <w:ind w:left="220"/>
    </w:pPr>
    <w:rPr>
      <w:rFonts w:cs="Times New Roman"/>
      <w:b/>
      <w:bCs/>
      <w:szCs w:val="26"/>
    </w:rPr>
  </w:style>
  <w:style w:type="character" w:styleId="Hyperlink">
    <w:name w:val="Hyperlink"/>
    <w:basedOn w:val="DefaultParagraphFont"/>
    <w:uiPriority w:val="99"/>
    <w:unhideWhenUsed/>
    <w:rsid w:val="00DA1FD8"/>
    <w:rPr>
      <w:color w:val="467886" w:themeColor="hyperlink"/>
      <w:u w:val="single"/>
    </w:rPr>
  </w:style>
  <w:style w:type="paragraph" w:styleId="TOC3">
    <w:name w:val="toc 3"/>
    <w:basedOn w:val="Normal"/>
    <w:next w:val="Normal"/>
    <w:autoRedefine/>
    <w:uiPriority w:val="39"/>
    <w:semiHidden/>
    <w:unhideWhenUsed/>
    <w:rsid w:val="00DA1FD8"/>
    <w:pPr>
      <w:spacing w:after="0"/>
      <w:ind w:left="440"/>
    </w:pPr>
    <w:rPr>
      <w:rFonts w:cs="Times New Roman"/>
      <w:sz w:val="20"/>
      <w:szCs w:val="24"/>
    </w:rPr>
  </w:style>
  <w:style w:type="paragraph" w:styleId="TOC4">
    <w:name w:val="toc 4"/>
    <w:basedOn w:val="Normal"/>
    <w:next w:val="Normal"/>
    <w:autoRedefine/>
    <w:uiPriority w:val="39"/>
    <w:semiHidden/>
    <w:unhideWhenUsed/>
    <w:rsid w:val="00DA1FD8"/>
    <w:pPr>
      <w:spacing w:after="0"/>
      <w:ind w:left="660"/>
    </w:pPr>
    <w:rPr>
      <w:rFonts w:cs="Times New Roman"/>
      <w:sz w:val="20"/>
      <w:szCs w:val="24"/>
    </w:rPr>
  </w:style>
  <w:style w:type="paragraph" w:styleId="TOC5">
    <w:name w:val="toc 5"/>
    <w:basedOn w:val="Normal"/>
    <w:next w:val="Normal"/>
    <w:autoRedefine/>
    <w:uiPriority w:val="39"/>
    <w:semiHidden/>
    <w:unhideWhenUsed/>
    <w:rsid w:val="00DA1FD8"/>
    <w:pPr>
      <w:spacing w:after="0"/>
      <w:ind w:left="880"/>
    </w:pPr>
    <w:rPr>
      <w:rFonts w:cs="Times New Roman"/>
      <w:sz w:val="20"/>
      <w:szCs w:val="24"/>
    </w:rPr>
  </w:style>
  <w:style w:type="paragraph" w:styleId="TOC6">
    <w:name w:val="toc 6"/>
    <w:basedOn w:val="Normal"/>
    <w:next w:val="Normal"/>
    <w:autoRedefine/>
    <w:uiPriority w:val="39"/>
    <w:semiHidden/>
    <w:unhideWhenUsed/>
    <w:rsid w:val="00DA1FD8"/>
    <w:pPr>
      <w:spacing w:after="0"/>
      <w:ind w:left="1100"/>
    </w:pPr>
    <w:rPr>
      <w:rFonts w:cs="Times New Roman"/>
      <w:sz w:val="20"/>
      <w:szCs w:val="24"/>
    </w:rPr>
  </w:style>
  <w:style w:type="paragraph" w:styleId="TOC7">
    <w:name w:val="toc 7"/>
    <w:basedOn w:val="Normal"/>
    <w:next w:val="Normal"/>
    <w:autoRedefine/>
    <w:uiPriority w:val="39"/>
    <w:semiHidden/>
    <w:unhideWhenUsed/>
    <w:rsid w:val="00DA1FD8"/>
    <w:pPr>
      <w:spacing w:after="0"/>
      <w:ind w:left="1320"/>
    </w:pPr>
    <w:rPr>
      <w:rFonts w:cs="Times New Roman"/>
      <w:sz w:val="20"/>
      <w:szCs w:val="24"/>
    </w:rPr>
  </w:style>
  <w:style w:type="paragraph" w:styleId="TOC8">
    <w:name w:val="toc 8"/>
    <w:basedOn w:val="Normal"/>
    <w:next w:val="Normal"/>
    <w:autoRedefine/>
    <w:uiPriority w:val="39"/>
    <w:semiHidden/>
    <w:unhideWhenUsed/>
    <w:rsid w:val="00DA1FD8"/>
    <w:pPr>
      <w:spacing w:after="0"/>
      <w:ind w:left="1540"/>
    </w:pPr>
    <w:rPr>
      <w:rFonts w:cs="Times New Roman"/>
      <w:sz w:val="20"/>
      <w:szCs w:val="24"/>
    </w:rPr>
  </w:style>
  <w:style w:type="paragraph" w:styleId="TOC9">
    <w:name w:val="toc 9"/>
    <w:basedOn w:val="Normal"/>
    <w:next w:val="Normal"/>
    <w:autoRedefine/>
    <w:uiPriority w:val="39"/>
    <w:semiHidden/>
    <w:unhideWhenUsed/>
    <w:rsid w:val="00DA1FD8"/>
    <w:pPr>
      <w:spacing w:after="0"/>
      <w:ind w:left="1760"/>
    </w:pPr>
    <w:rPr>
      <w:rFonts w:cs="Times New Roman"/>
      <w:sz w:val="20"/>
      <w:szCs w:val="24"/>
    </w:rPr>
  </w:style>
  <w:style w:type="paragraph" w:customStyle="1" w:styleId="p1">
    <w:name w:val="p1"/>
    <w:basedOn w:val="Normal"/>
    <w:rsid w:val="00DA1FD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p2">
    <w:name w:val="p2"/>
    <w:basedOn w:val="Normal"/>
    <w:rsid w:val="00DA1FD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AFB7E-0172-5048-9834-AC3DAD5F0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3541</Words>
  <Characters>20188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Fazal Ur Rehman Cheema</dc:creator>
  <cp:keywords/>
  <dc:description/>
  <cp:lastModifiedBy>Fazal Ur Rehman Cheema</cp:lastModifiedBy>
  <cp:revision>5</cp:revision>
  <dcterms:created xsi:type="dcterms:W3CDTF">2025-12-16T02:43:00Z</dcterms:created>
  <dcterms:modified xsi:type="dcterms:W3CDTF">2025-12-19T23:41:00Z</dcterms:modified>
</cp:coreProperties>
</file>