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arabun" w:hAnsi="Sarabun"/>
          <w:b/>
          <w:color w:val="006838"/>
          <w:sz w:val="22"/>
        </w:rPr>
        <w:t>🌾 ธนาคารเพื่อการเกษตรและสหกรณ์การเกษตร (ธ.ก.ส.) | สำนักธุรกรรมการเงิน</w:t>
      </w:r>
    </w:p>
    <w:p>
      <w:pPr>
        <w:jc w:val="center"/>
      </w:pPr>
      <w:r>
        <w:rPr>
          <w:rFonts w:ascii="Prompt" w:hAnsi="Prompt"/>
          <w:b/>
          <w:color w:val="064E2B"/>
          <w:sz w:val="44"/>
        </w:rPr>
        <w:t>คู่มือการใช้งานระบบคลังแม่แบบ Prompt Engineering</w:t>
      </w:r>
    </w:p>
    <w:p>
      <w:pPr>
        <w:jc w:val="center"/>
      </w:pPr>
      <w:r>
        <w:rPr>
          <w:rFonts w:ascii="Sarabun" w:hAnsi="Sarabun"/>
          <w:color w:val="64748B"/>
          <w:sz w:val="26"/>
        </w:rPr>
        <w:t>คู่มือการใช้งานทีละขั้นตอน (Step-by-Step Training Manual) ครบทั้ง 11 กลุ่มงาน</w:t>
      </w:r>
    </w:p>
    <w:p>
      <w:pPr>
        <w:jc w:val="center"/>
      </w:pPr>
      <w:r>
        <w:rPr>
          <w:rFonts w:ascii="Sarabun" w:hAnsi="Sarabun"/>
          <w:b/>
          <w:color w:val="006838"/>
          <w:sz w:val="20"/>
        </w:rPr>
        <w:t>URL เว็บไซต์ระบบ: https://cheeptham333.github.io/baac-prompt-hub/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Prompt" w:hAnsi="Prompt"/>
                <w:b/>
                <w:color w:val="006838"/>
                <w:sz w:val="22"/>
              </w:rPr>
              <w:t>จุดเด่นสำคัญของระบบ BAAC Prompt Hub:</w:t>
              <w:br/>
            </w:r>
            <w:r>
              <w:rPr>
                <w:rFonts w:ascii="Sarabun" w:hAnsi="Sarabun"/>
                <w:color w:val="1E293B"/>
                <w:sz w:val="20"/>
              </w:rPr>
              <w:t>• สถาปัตยกรรม Zero-API 100%: ใช้งานได้ทันที ไม่ต้องขอ API Key และประมวลผลบนเครื่อง ปลอดภัยสูงสุด</w:t>
              <w:br/>
              <w:t>• แม่แบบตรงภารกิจครบ 11 กลุ่มงาน: รองรับทั้งงานวิเคราะห์, ตรวจสอบกระทบยอด, ร่างเอกสารราชการ และงานบริการลูกค้า VOC</w:t>
              <w:br/>
              <w:t>• Instant AI Output Preview: แสดงตัวอย่างคำตอบจริงของโมเดล AI ใน 1 คลิก ช่วยให้เห็นผลลัพธ์ล่วงหน้า</w:t>
              <w:br/>
              <w:t>• 1-Tap Copy &amp; Mobile-First: แตะครั้งเดียวคัดลอกลง Clipboard ทันที พร้อมระบบสั่นเตือนบนมือถือ</w:t>
            </w:r>
          </w:p>
        </w:tc>
      </w:tr>
    </w:tbl>
    <w:p/>
    <w:p>
      <w:pPr>
        <w:pStyle w:val="Heading1"/>
      </w:pPr>
      <w:r>
        <w:rPr>
          <w:rFonts w:ascii="Prompt" w:hAnsi="Prompt"/>
          <w:color w:val="006838"/>
        </w:rPr>
        <w:t>บทที่ 1: การเข้าใช้งานระบบ และ Classroom QR Code</w:t>
      </w:r>
    </w:p>
    <w:p>
      <w:pPr>
        <w:spacing w:line="300" w:lineRule="auto"/>
      </w:pPr>
      <w:r>
        <w:rPr>
          <w:rFonts w:ascii="Sarabun" w:hAnsi="Sarabun"/>
          <w:sz w:val="22"/>
        </w:rPr>
        <w:t>ผู้ใช้งานและผู้เข้ารับการอบรมสามารถเข้าสู่ระบบคลังแม่แบบได้ทั้งทางเครื่องคอมพิวเตอร์และโทรศัพท์มือถือ โดยพิมพ์ที่อยู่เว็บไซต์ https://cheeptham333.github.io/baac-prompt-hub/ ผ่านเว็บเบราว์เซอร์มาตรฐาน (Google Chrome, Apple Safari, Microsoft Edge) โดยไม่ต้องติดตั้งโปรแกรมเสริมใดๆ ทั้งสิ้น</w:t>
      </w:r>
    </w:p>
    <w:p>
      <w:pPr>
        <w:spacing w:line="300" w:lineRule="auto"/>
      </w:pPr>
      <w:r>
        <w:rPr>
          <w:rFonts w:ascii="Sarabun" w:hAnsi="Sarabun"/>
          <w:sz w:val="22"/>
        </w:rPr>
        <w:t>สำหรับการฝึกอบรมในห้องสัมมนา (รองรับผู้เรียน 150 คน) วิทยากรสามารถกดปุ่ม 'QR Code ห้องเรียน' ที่มุมขวาบนของหน้าจอ ซึ่งมีฟังก์ชันพิเศษ:</w:t>
        <w:br/>
        <w:t>1. ปุ่มขยายเต็มจอฉาย (Enlarge for Projector): ขยายภาพคิวอาร์โค้ดเต็มหน้าจอฉาย เพื่อให้ผู้เรียนที่นั่งแถวหลังสุด (15-20 เมตร) สแกนติดได้อย่างรวดเร็ว</w:t>
        <w:br/>
        <w:t>2. โหมดขาว-ดำ คมชัดสูง (High-Contrast Mode): ตัดแสงสะท้อนของหลอดไฟในห้องสัมมนา สแกนติดง่าย 100%</w:t>
      </w:r>
    </w:p>
    <w:p>
      <w:pPr>
        <w:pStyle w:val="Heading1"/>
      </w:pPr>
      <w:r>
        <w:rPr>
          <w:rFonts w:ascii="Prompt" w:hAnsi="Prompt"/>
          <w:color w:val="006838"/>
        </w:rPr>
        <w:t>บทที่ 2: ขั้นตอนการใช้งานทีละ Step (Step-by-Step Practical Guide)</w:t>
      </w:r>
    </w:p>
    <w:p>
      <w:pPr>
        <w:spacing w:line="300" w:lineRule="auto"/>
      </w:pPr>
      <w:r>
        <w:rPr>
          <w:rFonts w:ascii="Prompt" w:hAnsi="Prompt"/>
          <w:b/>
          <w:color w:val="064E2B"/>
          <w:sz w:val="24"/>
        </w:rPr>
        <w:t>■ Step 1: การค้นหาและเลือกกลุ่มงาน (01 - 11)</w:t>
        <w:br/>
      </w:r>
      <w:r>
        <w:rPr>
          <w:rFonts w:ascii="Sarabun" w:hAnsi="Sarabun"/>
          <w:sz w:val="21"/>
        </w:rPr>
        <w:t>• กดชิปกลุ่มงาน (Department Pills): ที่แถบแนวนอนด้านบน เลือกกลุ่มงานที่ท่านสังกัด เช่น 06 (โอนเงินระหว่างธนาคาร) หรือ 09 (กระทบยอดเงินสด ATM)</w:t>
        <w:br/>
        <w:t>• ค้นหาคำสำคัญอัจฉริยะ (Smart Search): พิมพ์คำศัพท์ที่เกี่ยวข้องกับงาน เช่น 'SPIN', 'ATM', 'เช็คคืน', 'VOC', 'ภาษี' เพื่อค้นหาแม่แบบที่เกี่ยวข้องทันที</w:t>
      </w:r>
    </w:p>
    <w:p/>
    <w:p>
      <w:pPr>
        <w:spacing w:line="300" w:lineRule="auto"/>
      </w:pPr>
      <w:r>
        <w:rPr>
          <w:rFonts w:ascii="Prompt" w:hAnsi="Prompt"/>
          <w:b/>
          <w:color w:val="064E2B"/>
          <w:sz w:val="24"/>
        </w:rPr>
        <w:t>■ Step 2: การกรองตามหมวดหมู่ประเภทงาน</w:t>
        <w:br/>
      </w:r>
      <w:r>
        <w:rPr>
          <w:rFonts w:ascii="Sarabun" w:hAnsi="Sarabun"/>
          <w:sz w:val="21"/>
        </w:rPr>
        <w:t>เลือกฟิลเตอร์ Dropdown 'ทุกประเภทงาน' เพื่อจำกัดประเภทงานที่ต้องการ ได้แก่: วิเคราะห์ &amp; สรุปข้อมูล, ร่างเอกสาร &amp; หนังสือราชการ/สื่อสาร, กระทบยอด &amp; ตรวจสอบความถูกต้อง, ตอบข้อร้องเรียน VOC &amp; บริการลูกค้า, และวางแผน &amp; เกณฑ์มาตรฐานงาน (SOP)</w:t>
      </w:r>
    </w:p>
    <w:p/>
    <w:p>
      <w:pPr>
        <w:spacing w:line="300" w:lineRule="auto"/>
      </w:pPr>
      <w:r>
        <w:rPr>
          <w:rFonts w:ascii="Prompt" w:hAnsi="Prompt"/>
          <w:b/>
          <w:color w:val="064E2B"/>
          <w:sz w:val="24"/>
        </w:rPr>
        <w:t>■ Step 3: ทำความเข้าใจโครงสร้างการ์ดแม่แบบ (RTF Framework)</w:t>
        <w:br/>
      </w:r>
      <w:r>
        <w:rPr>
          <w:rFonts w:ascii="Sarabun" w:hAnsi="Sarabun"/>
          <w:sz w:val="21"/>
        </w:rPr>
        <w:t>การ์ดแต่ละใบถูกพัฒนาขึ้นตามหลักการ Role-Task-Format:</w:t>
        <w:br/>
        <w:t>• Role (บทบาท): กำหนดความเชี่ยวชาญของ AI เช่น เจ้าหน้าที่โอนเงินระหว่างธนาคาร ธ.ก.ส.</w:t>
        <w:br/>
        <w:t>• Task (ภารกิจ): ระบุคำสั่งงานที่ชัดเจน เช่น ร่างหนังสือแจ้ง ITMX หรือตรวจสอบรายการขัดข้อง</w:t>
        <w:br/>
        <w:t>• Format (รูปแบบผลลัพธ์): กำหนดให้ส่งมอบเป็นตารางวิเคราะห์, บันทึกข้อความทางการ หรือสคริปต์แจ้งลูกค้า</w:t>
      </w:r>
    </w:p>
    <w:p/>
    <w:p>
      <w:pPr>
        <w:spacing w:line="300" w:lineRule="auto"/>
      </w:pPr>
      <w:r>
        <w:rPr>
          <w:rFonts w:ascii="Prompt" w:hAnsi="Prompt"/>
          <w:b/>
          <w:color w:val="064E2B"/>
          <w:sz w:val="24"/>
        </w:rPr>
        <w:t>■ Step 4: การปรับแต่งตัวแปรข้อมูล (Dynamic Variables)</w:t>
        <w:br/>
      </w:r>
      <w:r>
        <w:rPr>
          <w:rFonts w:ascii="Sarabun" w:hAnsi="Sarabun"/>
          <w:sz w:val="21"/>
        </w:rPr>
        <w:t>คลิกปุ่ม 'ปรับแต่งตัวแปรข้อมูล' บนการ์ด เพื่อระบุข้อมูลเฉพาะของงาน เช่น วันที่, เลขที่อ้างอิง, รหัสสาขา ระบบจะนำค่าใหม่ไปแทนที่ในเนื้อหา Prompt และตัวอย่างผลลัพธ์ AI แบบ Real-time ทันที พร้อมแสดงแถบสีเหลืองระบุจุดที่มีการแก้ไข</w:t>
      </w:r>
    </w:p>
    <w:p/>
    <w:p>
      <w:pPr>
        <w:spacing w:line="300" w:lineRule="auto"/>
      </w:pPr>
      <w:r>
        <w:rPr>
          <w:rFonts w:ascii="Prompt" w:hAnsi="Prompt"/>
          <w:b/>
          <w:color w:val="064E2B"/>
          <w:sz w:val="24"/>
        </w:rPr>
        <w:t>■ Step 5: ตรวจดูตัวอย่างผลลัพธ์คำตอบ AI ทันที (Instant Preview)</w:t>
        <w:br/>
      </w:r>
      <w:r>
        <w:rPr>
          <w:rFonts w:ascii="Sarabun" w:hAnsi="Sarabun"/>
          <w:sz w:val="21"/>
        </w:rPr>
        <w:t>คลิกแท็บ 'ตัวอย่างคำตอบ AI (Expected Output Preview)' บนการ์ดแม่แบบ เพื่อดูโครงสร้างคำตอบจริงของโมเดล AI ช่วยให้ผู้ใช้งานเห็นภาพผลลัพธ์ก่อน และมั่นใจในคุณภาพก่อนนำ Prompt ไปสั่งการจริง</w:t>
      </w:r>
    </w:p>
    <w:p/>
    <w:p>
      <w:pPr>
        <w:spacing w:line="300" w:lineRule="auto"/>
      </w:pPr>
      <w:r>
        <w:rPr>
          <w:rFonts w:ascii="Prompt" w:hAnsi="Prompt"/>
          <w:b/>
          <w:color w:val="064E2B"/>
          <w:sz w:val="24"/>
        </w:rPr>
        <w:t>■ Step 6: การคัดลอกในสัมผัสเดียว (1-Tap Copy)</w:t>
        <w:br/>
      </w:r>
      <w:r>
        <w:rPr>
          <w:rFonts w:ascii="Sarabun" w:hAnsi="Sarabun"/>
          <w:sz w:val="21"/>
        </w:rPr>
        <w:t>กดปุ่มสีเขียวขนาดใหญ่ 'คัดลอก Prompt' (หรือ 'คัดลอกตัวอย่างคำตอบ') ระบบจะบันทึกข้อความลง Clipboard ทันที พร้อมแสดงแถบยืนยันสีเขียวและสั่นเตือนบนมือถือ จากนั้นนำข้อความไป Paste ลงใน Google Gemini ได้ทันที</w:t>
      </w:r>
    </w:p>
    <w:p/>
    <w:p>
      <w:pPr>
        <w:pStyle w:val="Heading1"/>
      </w:pPr>
      <w:r>
        <w:rPr>
          <w:rFonts w:ascii="Prompt" w:hAnsi="Prompt"/>
          <w:color w:val="006838"/>
        </w:rPr>
        <w:t>บทที่ 3: สรุปรายชื่อและภารกิจ 11 กลุ่มงาน สำนักธุรกรรมการเงิน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152"/>
            <w:shd w:fill="0068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Prompt" w:hAnsi="Prompt"/>
                <w:b/>
                <w:color w:val="FFFFFF"/>
                <w:sz w:val="20"/>
              </w:rPr>
              <w:t>รหัส</w:t>
            </w:r>
          </w:p>
        </w:tc>
        <w:tc>
          <w:tcPr>
            <w:tcW w:type="dxa" w:w="3744"/>
            <w:shd w:fill="0068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Prompt" w:hAnsi="Prompt"/>
                <w:b/>
                <w:color w:val="FFFFFF"/>
                <w:sz w:val="20"/>
              </w:rPr>
              <w:t>ชื่อกลุ่มงาน</w:t>
            </w:r>
          </w:p>
        </w:tc>
        <w:tc>
          <w:tcPr>
            <w:tcW w:type="dxa" w:w="4032"/>
            <w:shd w:fill="0068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Prompt" w:hAnsi="Prompt"/>
                <w:b/>
                <w:color w:val="FFFFFF"/>
                <w:sz w:val="20"/>
              </w:rPr>
              <w:t>ภารกิจหลักและตัวอย่าง Prompt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b/>
                <w:color w:val="006838"/>
                <w:sz w:val="19"/>
              </w:rPr>
              <w:t>01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sz w:val="19"/>
              </w:rPr>
              <w:t>กลุ่มงานนโยบายและแผน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sz w:val="19"/>
              </w:rPr>
              <w:t>วิเคราะห์ KPI ยุทธศาสตร์, วางแผนพัฒนาบุคลากร AI</w:t>
            </w:r>
          </w:p>
        </w:tc>
      </w:tr>
      <w:tr>
        <w:tc>
          <w:tcPr>
            <w:tcW w:type="dxa" w:w="11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b/>
                <w:color w:val="006838"/>
                <w:sz w:val="19"/>
              </w:rPr>
              <w:t>02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sz w:val="19"/>
              </w:rPr>
              <w:t>กลุ่มงานพัฒนาระบบสนับสนุนด้านการเงิน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sz w:val="19"/>
              </w:rPr>
              <w:t>จัดทำ BRD ระบบชำระเงิน, ออกแบบ Test Cases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b/>
                <w:color w:val="006838"/>
                <w:sz w:val="19"/>
              </w:rPr>
              <w:t>03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sz w:val="19"/>
              </w:rPr>
              <w:t>กลุ่มงานปฏิบัติและกำกับงานการธนาคาร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sz w:val="19"/>
              </w:rPr>
              <w:t>กำกับเปิด-ปิดระบบสาขา, ตรวจสอบภาษีหัก ณ ที่จ่าย</w:t>
            </w:r>
          </w:p>
        </w:tc>
      </w:tr>
      <w:tr>
        <w:tc>
          <w:tcPr>
            <w:tcW w:type="dxa" w:w="11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b/>
                <w:color w:val="006838"/>
                <w:sz w:val="19"/>
              </w:rPr>
              <w:t>04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sz w:val="19"/>
              </w:rPr>
              <w:t>กลุ่มงานบริหารจัดการเงินสดสาขา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sz w:val="19"/>
              </w:rPr>
              <w:t>พยากรณ์เงินสดสำรองสาขา/ศูนย์เงินสด, คุม Holding Cost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b/>
                <w:color w:val="006838"/>
                <w:sz w:val="19"/>
              </w:rPr>
              <w:t>05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sz w:val="19"/>
              </w:rPr>
              <w:t>กลุ่มงานปฏิบัติการโอนเงินระหว่างสาขา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sz w:val="19"/>
              </w:rPr>
              <w:t>แก้ไขปัญหาระบบ SPIN, กระทบยอดค่าธรรมเนียม</w:t>
            </w:r>
          </w:p>
        </w:tc>
      </w:tr>
      <w:tr>
        <w:tc>
          <w:tcPr>
            <w:tcW w:type="dxa" w:w="11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b/>
                <w:color w:val="006838"/>
                <w:sz w:val="19"/>
              </w:rPr>
              <w:t>06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sz w:val="19"/>
              </w:rPr>
              <w:t>กลุ่มงานปฏิบัติการโอนเงินระหว่างธนาคาร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sz w:val="19"/>
              </w:rPr>
              <w:t>ประสาน ITMX โอนเงินขัดข้อง, ร่างข้อความตอบลูกค้า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b/>
                <w:color w:val="006838"/>
                <w:sz w:val="19"/>
              </w:rPr>
              <w:t>07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sz w:val="19"/>
              </w:rPr>
              <w:t>กลุ่มงานปฏิบัติการเรียกเก็บเช็ค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sz w:val="19"/>
              </w:rPr>
              <w:t>ตรวจสอบเช็คขัดข้อง ICAS, รายงานสถิติเช็คคืน</w:t>
            </w:r>
          </w:p>
        </w:tc>
      </w:tr>
      <w:tr>
        <w:tc>
          <w:tcPr>
            <w:tcW w:type="dxa" w:w="11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b/>
                <w:color w:val="006838"/>
                <w:sz w:val="19"/>
              </w:rPr>
              <w:t>08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sz w:val="19"/>
              </w:rPr>
              <w:t>กลุ่มงานตรวจพิสูจน์และชำระดุล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sz w:val="19"/>
              </w:rPr>
              <w:t>กระทบยอดบัญชี 3 ทาง, ตรวจสอบรายการขัดข้อง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b/>
                <w:color w:val="006838"/>
                <w:sz w:val="19"/>
              </w:rPr>
              <w:t>09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sz w:val="19"/>
              </w:rPr>
              <w:t>กลุ่มงานตรวจพิสูจน์กระทบยอดเงินสด ATM/CDM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sz w:val="19"/>
              </w:rPr>
              <w:t>ตรวจพิสูจน์เงินสดตู้ ATM, ปรับปรุงคืนเงินลูกค้า VOC</w:t>
            </w:r>
          </w:p>
        </w:tc>
      </w:tr>
      <w:tr>
        <w:tc>
          <w:tcPr>
            <w:tcW w:type="dxa" w:w="11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b/>
                <w:color w:val="006838"/>
                <w:sz w:val="19"/>
              </w:rPr>
              <w:t>10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sz w:val="19"/>
              </w:rPr>
              <w:t>กลุ่มงานบริหาร Banking Agent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sz w:val="19"/>
              </w:rPr>
              <w:t>วิเคราะห์ประสิทธิภาพตัวแทน, ประเมินความเสี่ยง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b/>
                <w:color w:val="006838"/>
                <w:sz w:val="19"/>
              </w:rPr>
              <w:t>11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sz w:val="19"/>
              </w:rPr>
              <w:t>กลุ่มงานบริหารเงินสด ATM นอกสำนักงาน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sz w:val="19"/>
              </w:rPr>
              <w:t>กำกับตารางขนส่งเงินสด CIT, ตรวจสอบกล่องเงิน</w:t>
            </w:r>
          </w:p>
        </w:tc>
      </w:tr>
    </w:tbl>
    <w:p/>
    <w:p>
      <w:pPr>
        <w:pStyle w:val="Heading1"/>
      </w:pPr>
      <w:r>
        <w:rPr>
          <w:rFonts w:ascii="Prompt" w:hAnsi="Prompt"/>
          <w:color w:val="006838"/>
        </w:rPr>
        <w:t>บทที่ 4: นโยบายความปลอดภัยข้อมูลและกฎเหล็ก Data Masking (PDPA)</w:t>
      </w:r>
    </w:p>
    <w:p>
      <w:pPr>
        <w:spacing w:line="300" w:lineRule="auto"/>
      </w:pPr>
      <w:r>
        <w:rPr>
          <w:rFonts w:ascii="Sarabun" w:hAnsi="Sarabun"/>
          <w:sz w:val="22"/>
        </w:rPr>
        <w:t>ในการปฏิบัติงานกับระบบ Generative AI ข้อมูลทางการเงินและข้อมูลส่วนบุคคลของลูกค้าถือเป็นสิ่งสำคัญสูงสุด พนักงาน ธ.ก.ส. ต้องปฏิบัติตามกฎการแปลงข้อมูลลับ (Data Masking) อย่างเคร่งครัดตามตารางดังนี้: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592"/>
            <w:shd w:fill="064E2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Prompt" w:hAnsi="Prompt"/>
                <w:b/>
                <w:color w:val="FFFFFF"/>
                <w:sz w:val="20"/>
              </w:rPr>
              <w:t>ประเภทข้อมูล</w:t>
            </w:r>
          </w:p>
        </w:tc>
        <w:tc>
          <w:tcPr>
            <w:tcW w:type="dxa" w:w="3168"/>
            <w:shd w:fill="064E2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Prompt" w:hAnsi="Prompt"/>
                <w:b/>
                <w:color w:val="FFFFFF"/>
                <w:sz w:val="20"/>
              </w:rPr>
              <w:t>ข้อมูลจริง (ห้ามป้อน)</w:t>
            </w:r>
          </w:p>
        </w:tc>
        <w:tc>
          <w:tcPr>
            <w:tcW w:type="dxa" w:w="3168"/>
            <w:shd w:fill="064E2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Prompt" w:hAnsi="Prompt"/>
                <w:b/>
                <w:color w:val="FFFFFF"/>
                <w:sz w:val="20"/>
              </w:rPr>
              <w:t>ตัวอย่างการแปลงข้อมูล (Masked Data)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sz w:val="19"/>
              </w:rPr>
              <w:t>ชื่อ-นามสกุลลูกค้า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color w:val="DC2626"/>
                <w:sz w:val="19"/>
              </w:rPr>
              <w:t>นายสมชาย เกษตรพัฒนา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b/>
                <w:color w:val="006838"/>
                <w:sz w:val="19"/>
              </w:rPr>
              <w:t>ลูกค้าบุคคลธรรมดา รายที่ 1 / นาย ส.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sz w:val="19"/>
              </w:rPr>
              <w:t>เลขประจำตัวประชาชน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color w:val="DC2626"/>
                <w:sz w:val="19"/>
              </w:rPr>
              <w:t>1-1004-99887-12-3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b/>
                <w:color w:val="006838"/>
                <w:sz w:val="19"/>
              </w:rPr>
              <w:t>1-XXXX-XXXXX-12-3 หรือ [เลขบัตร ปชช.]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sz w:val="19"/>
              </w:rPr>
              <w:t>เลขที่บัญชีเงินฝาก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color w:val="DC2626"/>
                <w:sz w:val="19"/>
              </w:rPr>
              <w:t>020-1-2345678-9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b/>
                <w:color w:val="006838"/>
                <w:sz w:val="19"/>
              </w:rPr>
              <w:t>020-X-XXXXX78-9 หรือ [บัญชีลูกค้า]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sz w:val="19"/>
              </w:rPr>
              <w:t>รหัสผ่าน / PIN / OTP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color w:val="DC2626"/>
                <w:sz w:val="19"/>
              </w:rPr>
              <w:t>รหัสผ่านทุกประเภท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arabun" w:hAnsi="Sarabun"/>
                <w:b/>
                <w:color w:val="006838"/>
                <w:sz w:val="19"/>
              </w:rPr>
              <w:t>ห้ามระบุลงใน Prompt โดยเด็ดขาด 100%</w:t>
            </w:r>
          </w:p>
        </w:tc>
      </w:tr>
    </w:tbl>
    <w:p/>
    <w:p>
      <w:pPr>
        <w:jc w:val="center"/>
      </w:pPr>
      <w:r>
        <w:rPr>
          <w:rFonts w:ascii="Sarabun" w:hAnsi="Sarabun"/>
          <w:color w:val="64748B"/>
          <w:sz w:val="18"/>
        </w:rPr>
        <w:t>© สำนักธุรกรรมการเงิน ธนาคารเพื่อการเกษตรและสหกรณ์การเกษตร (ธ.ก.ส.)</w:t>
        <w:br/>
        <w:t>คู่มือการฝึกอบรมระบบคลังแม่แบบ Prompt Engineering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