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754D8698"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056D7A1"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6YQggIAAF8FAAAOAAAAZHJzL2Uyb0RvYy54bWysVN9v2jAQfp+0/8Hy+xpCKQNEqBhVp0lV&#10;W62d+mwcG6I5Ps82JOyv350TaNftpdNeEvt+33ffeX7Z1obtlQ8V2ILnZwPOlJVQVnZT8G+P1x8m&#10;nIUobCkMWFXwgwr8cvH+3bxxMzWELZhSeYZBbJg1ruDbGN0sy4LcqlqEM3DKolKDr0XEq99kpRcN&#10;Rq9NNhwMxlkDvnQepAoBpVedki9SfK2VjHdaBxWZKTjWFtPXp++avtliLmYbL9y2kn0Z4h+qqEVl&#10;Mekp1JWIgu189UeoupIeAuh4JqHOQOtKqtQDdpMPXnXzsBVOpV4QnOBOMIX/F1be7u89q0qcXZ6P&#10;p5N8fI4Ts6LGWT2qNrJP0LKLhFPjwgzNHxw6xBbl6EP4kTygkNpvta/pj40x1CPihxPKFE2icDSd&#10;js/HOWcSdcPRdDgZTilO9uzufIifFdSMDgX3OMaErtjfhNiZHk0om4Xrypg0SmN/E2BMkmTPNaZT&#10;PBhFdsZ+VRq7T6WSIEi/Wa+MZx1FkMPYwpEoKRg6kKHGhG/07V3IWyVmvtH/5JTyg40n/7qy4BNA&#10;aW8UNbAXyPjye5oQFq47+yMUHQCERWzXbT/ENZQHnK2HbkuCk9cV4n8jQrwXHtcCscBVj3f40Qaa&#10;gkN/4mwL/uff5GSPbEUtZw2uWcHDj53wijPzxSKPp/loRHuZLqOLj0O8+Jea9UuN3dUrwL6QPFhd&#10;OpJ9NMej9lA/4YuwpKyoElZi7oLH43EVu8niiyLVcpmMcBOdiDf2wUkKTfASux7bJ+FdT8GI7L2F&#10;40KK2SsmdrbkaWG5i6CrRFMCuEO1Bx63OBG9f3HomXh5T1bP7+LiFwAAAP//AwBQSwMEFAAGAAgA&#10;AAAhADyZCh7gAAAACwEAAA8AAABkcnMvZG93bnJldi54bWxMj01PwzAMhu9I/IfISNxYsrZsXWk6&#10;IRBX0MaHxC1rvLaicaomW8u/x5zgZFl+9Pp5y+3senHGMXSeNCwXCgRS7W1HjYa316ebHESIhqzp&#10;PaGGbwywrS4vSlNYP9EOz/vYCA6hUBgNbYxDIWWoW3QmLPyAxLejH52JvI6NtKOZONz1MlFqJZ3p&#10;iD+0ZsCHFuuv/clpeH8+fn5k6qV5dLfD5GclyW2k1tdX8/0diIhz/IPhV5/VoWKngz+RDaLXkK9X&#10;TPJMlykIBvJ1loE4MJkk6QZkVcr/HaofAAAA//8DAFBLAQItABQABgAIAAAAIQC2gziS/gAAAOEB&#10;AAATAAAAAAAAAAAAAAAAAAAAAABbQ29udGVudF9UeXBlc10ueG1sUEsBAi0AFAAGAAgAAAAhADj9&#10;If/WAAAAlAEAAAsAAAAAAAAAAAAAAAAALwEAAF9yZWxzLy5yZWxzUEsBAi0AFAAGAAgAAAAhAHTn&#10;phCCAgAAXwUAAA4AAAAAAAAAAAAAAAAALgIAAGRycy9lMm9Eb2MueG1sUEsBAi0AFAAGAAgAAAAh&#10;ADyZCh7gAAAACwEAAA8AAAAAAAAAAAAAAAAA3AQAAGRycy9kb3ducmV2LnhtbFBLBQYAAAAABAAE&#10;APMAAADpBQ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056D7A1"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9646C5"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BD33C7">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9646C5">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9646C5">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9646C5">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9646C5">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9646C5">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9646C5">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9646C5">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9646C5">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9646C5">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9646C5">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9646C5">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9646C5">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9646C5">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BD33C7">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BD33C7"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lastRenderedPageBreak/>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general public.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general public,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w:t>
      </w:r>
      <w:r w:rsidRPr="001041AD">
        <w:rPr>
          <w:rFonts w:ascii="Times New Roman" w:hAnsi="Times New Roman" w:cs="Times New Roman"/>
          <w:color w:val="000000"/>
          <w:sz w:val="24"/>
          <w:szCs w:val="24"/>
        </w:rPr>
        <w:lastRenderedPageBreak/>
        <w:t xml:space="preserve">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dialogue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Presented the datasets collected by each team member and discuss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End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End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reason</w:t>
      </w:r>
      <w:proofErr w:type="gramEnd"/>
      <w:r w:rsidRPr="00FA14AB">
        <w:rPr>
          <w:rFonts w:ascii="Times New Roman" w:hAnsi="Times New Roman" w:cs="Times New Roman"/>
          <w:color w:val="000000"/>
          <w:sz w:val="24"/>
          <w:szCs w:val="24"/>
        </w:rPr>
        <w:t>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migration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w:t>
      </w:r>
      <w:r w:rsidRPr="00FA14AB">
        <w:rPr>
          <w:rFonts w:ascii="Times New Roman" w:hAnsi="Times New Roman" w:cs="Times New Roman"/>
          <w:color w:val="000000"/>
          <w:sz w:val="24"/>
          <w:szCs w:val="24"/>
        </w:rPr>
        <w:lastRenderedPageBreak/>
        <w:t xml:space="preserve">"Prevalence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metropolitan</w:t>
      </w:r>
      <w:proofErr w:type="gramEnd"/>
      <w:r w:rsidRPr="00FA14AB">
        <w:rPr>
          <w:rFonts w:ascii="Times New Roman" w:hAnsi="Times New Roman" w:cs="Times New Roman"/>
          <w:color w:val="000000"/>
          <w:sz w:val="24"/>
          <w:szCs w:val="24"/>
        </w:rPr>
        <w:t>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are ratio data because they involve numerical values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End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xml:space="preserve">" is categorical data because it represents distinct </w:t>
      </w:r>
      <w:r w:rsidRPr="00FA14AB">
        <w:rPr>
          <w:rFonts w:ascii="Times New Roman" w:hAnsi="Times New Roman" w:cs="Times New Roman"/>
          <w:color w:val="000000"/>
          <w:sz w:val="24"/>
          <w:szCs w:val="24"/>
        </w:rPr>
        <w:lastRenderedPageBreak/>
        <w:t>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91-99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1F34F193" w:rsidR="002C36D4"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lastRenderedPageBreak/>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BD33C7"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disease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08F999F5"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4D2469B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lastRenderedPageBreak/>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621B6774">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size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3AB5783F" w14:textId="083DAD9D" w:rsidR="0031367C" w:rsidRDefault="00C20770" w:rsidP="0031367C">
      <w:pPr>
        <w:spacing w:afterLines="26" w:after="62" w:line="26" w:lineRule="atLeast"/>
        <w:jc w:val="both"/>
        <w:rPr>
          <w:rFonts w:ascii="Times New Roman" w:hAnsi="Times New Roman" w:cs="Times New Roman"/>
          <w:color w:val="000000"/>
          <w:sz w:val="24"/>
          <w:szCs w:val="24"/>
        </w:rPr>
      </w:pPr>
      <w:r w:rsidRPr="00C20770">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Throughout these stages, we explored alternative ideas and implemented a change for the color legend. We transformed the existing rectangular color range into ten square segments, each representing a distinct wage range. Alongside these color squares, clear annotations can be included to indicate the numerical values associated with each color.</w:t>
      </w:r>
    </w:p>
    <w:p w14:paraId="6A2E2FBA" w14:textId="77777777" w:rsidR="00C20770" w:rsidRPr="00FA14AB" w:rsidRDefault="00C20770"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4D3B06A5" w14:textId="754AE192" w:rsidR="00F1312A" w:rsidRDefault="00F1312A">
      <w:pPr>
        <w:spacing w:after="0" w:line="240" w:lineRule="auto"/>
        <w:rPr>
          <w:rFonts w:ascii="Times New Roman" w:hAnsi="Times New Roman" w:cs="Times New Roman"/>
          <w:color w:val="000000"/>
          <w:sz w:val="24"/>
          <w:szCs w:val="24"/>
        </w:rPr>
      </w:pPr>
    </w:p>
    <w:p w14:paraId="5FBF8858" w14:textId="77777777" w:rsidR="00BE1DCD" w:rsidRDefault="00BE1DCD">
      <w:pPr>
        <w:spacing w:after="0" w:line="240" w:lineRule="auto"/>
        <w:rPr>
          <w:rFonts w:ascii="Times New Roman" w:hAnsi="Times New Roman" w:cs="Times New Roman"/>
          <w:color w:val="000000"/>
          <w:sz w:val="24"/>
          <w:szCs w:val="24"/>
        </w:rPr>
      </w:pPr>
    </w:p>
    <w:p w14:paraId="020DCE54" w14:textId="6A94101D"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1D622FFB" w14:textId="6909F971" w:rsidR="007F6C31" w:rsidRDefault="00B628AE" w:rsidP="00B628AE">
      <w:pPr>
        <w:spacing w:afterLines="26" w:after="62" w:line="26" w:lineRule="atLeast"/>
        <w:jc w:val="both"/>
        <w:rPr>
          <w:rFonts w:ascii="Times New Roman" w:hAnsi="Times New Roman" w:cs="Times New Roman"/>
          <w:color w:val="000000"/>
          <w:sz w:val="24"/>
          <w:szCs w:val="24"/>
        </w:rPr>
      </w:pPr>
      <w:r w:rsidRPr="00B628AE">
        <w:rPr>
          <w:rFonts w:ascii="Times New Roman" w:hAnsi="Times New Roman" w:cs="Times New Roman"/>
          <w:color w:val="000000"/>
          <w:sz w:val="24"/>
          <w:szCs w:val="24"/>
        </w:rPr>
        <w:t xml:space="preserve">In our final heatmap design for visualizing wages of various countries, we implemented the alternative idea for the color </w:t>
      </w:r>
      <w:r w:rsidR="00D8005D" w:rsidRPr="00B628AE">
        <w:rPr>
          <w:rFonts w:ascii="Times New Roman" w:hAnsi="Times New Roman" w:cs="Times New Roman"/>
          <w:color w:val="000000"/>
          <w:sz w:val="24"/>
          <w:szCs w:val="24"/>
        </w:rPr>
        <w:t>legend,</w:t>
      </w:r>
      <w:r w:rsidRPr="00B628AE">
        <w:rPr>
          <w:rFonts w:ascii="Times New Roman" w:hAnsi="Times New Roman" w:cs="Times New Roman"/>
          <w:color w:val="000000"/>
          <w:sz w:val="24"/>
          <w:szCs w:val="24"/>
        </w:rPr>
        <w:t xml:space="preserve"> and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3B80C3EA" w14:textId="77777777" w:rsidR="00B628AE" w:rsidRPr="00FA14AB" w:rsidRDefault="00B628AE"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3D37DE0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6C7AC72C"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choropleth map visual encoding, we utilize the area as the mark, where each geographical region represents a distinct area. The channels employed include color saturation to represent the </w:t>
      </w:r>
      <w:r w:rsidRPr="00FA14AB">
        <w:rPr>
          <w:rFonts w:ascii="Times New Roman" w:hAnsi="Times New Roman" w:cs="Times New Roman"/>
          <w:color w:val="000000"/>
          <w:sz w:val="24"/>
          <w:szCs w:val="24"/>
        </w:rPr>
        <w:lastRenderedPageBreak/>
        <w:t>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ED24AE6"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w:t>
      </w:r>
      <w:r w:rsidR="00C503A3" w:rsidRPr="00FA14AB">
        <w:rPr>
          <w:rFonts w:ascii="Times New Roman" w:hAnsi="Times New Roman" w:cs="Times New Roman"/>
          <w:color w:val="000000"/>
          <w:sz w:val="24"/>
          <w:szCs w:val="24"/>
        </w:rPr>
        <w:t xml:space="preserve">choropleth </w:t>
      </w:r>
      <w:r w:rsidR="00C503A3">
        <w:rPr>
          <w:rFonts w:ascii="Times New Roman" w:hAnsi="Times New Roman" w:cs="Times New Roman"/>
          <w:color w:val="000000"/>
          <w:sz w:val="24"/>
          <w:szCs w:val="24"/>
        </w:rPr>
        <w:t>c</w:t>
      </w:r>
      <w:r w:rsidRPr="00FA14AB">
        <w:rPr>
          <w:rFonts w:ascii="Times New Roman" w:hAnsi="Times New Roman" w:cs="Times New Roman"/>
          <w:color w:val="000000"/>
          <w:sz w:val="24"/>
          <w:szCs w:val="24"/>
        </w:rPr>
        <w:t>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614B92D8"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25CB27A2" w:rsidR="00A3423F" w:rsidRPr="00FA14AB" w:rsidRDefault="00EB1C65" w:rsidP="0031367C">
      <w:pPr>
        <w:spacing w:afterLines="26" w:after="62" w:line="26" w:lineRule="atLeast"/>
        <w:jc w:val="both"/>
        <w:rPr>
          <w:rFonts w:ascii="Times New Roman" w:hAnsi="Times New Roman" w:cs="Times New Roman"/>
          <w:color w:val="000000"/>
          <w:sz w:val="24"/>
          <w:szCs w:val="24"/>
        </w:rPr>
      </w:pPr>
      <w:r w:rsidRPr="00EB1C65">
        <w:rPr>
          <w:rFonts w:ascii="Times New Roman" w:hAnsi="Times New Roman" w:cs="Times New Roman"/>
          <w:color w:val="000000"/>
          <w:sz w:val="24"/>
          <w:szCs w:val="24"/>
        </w:rPr>
        <w:t>In the final design of the choropleth map, we followed the sketch design and our goal was to create an engaging and informative visualization of the data</w:t>
      </w:r>
      <w:r w:rsidR="00490C9F" w:rsidRPr="00FA14AB">
        <w:rPr>
          <w:rFonts w:ascii="Times New Roman" w:hAnsi="Times New Roman" w:cs="Times New Roman"/>
          <w:color w:val="000000"/>
          <w:sz w:val="24"/>
          <w:szCs w:val="24"/>
        </w:rPr>
        <w:t>.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529BACD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2B4D6154"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557E1C95">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5F27EB8E" w14:textId="77777777" w:rsidR="001874A3" w:rsidRPr="00FA14AB" w:rsidRDefault="001874A3" w:rsidP="0031367C">
      <w:pPr>
        <w:spacing w:afterLines="26" w:after="62" w:line="26" w:lineRule="atLeast"/>
        <w:rPr>
          <w:rFonts w:ascii="Times New Roman" w:hAnsi="Times New Roman" w:cs="Times New Roman"/>
          <w:b/>
          <w:bCs/>
          <w:color w:val="000000"/>
          <w:sz w:val="24"/>
          <w:szCs w:val="24"/>
        </w:rPr>
      </w:pPr>
    </w:p>
    <w:p w14:paraId="7957780A" w14:textId="2C694584" w:rsidR="00A73DEC" w:rsidRPr="001874A3" w:rsidRDefault="001874A3" w:rsidP="001874A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For the sunburst chart visualization design, our general ideas include incorporating interactive elements to enhance user engagement and understanding. We plan to implement tooltips that provide detailed information when users hover over specific segments, offering insights into the hierarchical structure of the data. Furthermore, distinct colors will be assigned to represent various age groups and different years, offering visual cues to facilitate users in interpreting the sunburst chart effortlessly. The incorporation of a legend will guide users in comprehending the color-coded categories within the chart. Alongside this, filter buttons will be provided, and upon activation, a table form will be presented, allowing users to access more detailed data. The ultimate design strives to achieve a harmonious blend of aesthetics and functionality, ensuring a smooth and informative user experience.</w:t>
      </w:r>
    </w:p>
    <w:p w14:paraId="0DB24B14" w14:textId="77777777" w:rsidR="001874A3" w:rsidRDefault="001874A3" w:rsidP="0031367C">
      <w:pPr>
        <w:spacing w:afterLines="26" w:after="62" w:line="26" w:lineRule="atLeast"/>
        <w:rPr>
          <w:rFonts w:ascii="Times New Roman" w:hAnsi="Times New Roman" w:cs="Times New Roman"/>
          <w:color w:val="000000"/>
          <w:sz w:val="24"/>
          <w:szCs w:val="24"/>
        </w:rPr>
      </w:pPr>
    </w:p>
    <w:p w14:paraId="6C499A95" w14:textId="73D7B8F9" w:rsidR="001874A3" w:rsidRDefault="001874A3" w:rsidP="006554A1">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The first alternative idea is to involve adjusting the radial layout of the sunburst chart. Instead of a traditional circular layout, consider a spiral or elliptical arrangement. This alternative design could provide a unique visual representation and potentially improve the user's understanding of hierarchical data.</w:t>
      </w:r>
      <w:r w:rsidR="00417218" w:rsidRPr="00417218">
        <w:t xml:space="preserve"> </w:t>
      </w:r>
      <w:r w:rsidR="00417218" w:rsidRPr="00417218">
        <w:rPr>
          <w:rFonts w:ascii="Times New Roman" w:hAnsi="Times New Roman" w:cs="Times New Roman"/>
          <w:color w:val="000000"/>
          <w:sz w:val="24"/>
          <w:szCs w:val="24"/>
        </w:rPr>
        <w:t>The next alternative idea is transforming the traditional sunburst chart into a zoomable sunburst chart. Allow users to zoom in and out of specific sections of the hierarchy, providing a more detailed view of the data. This zoomable feature could be implemented through user interactions, such as the click features. When zooming in, the chart would reveal more granular information, and when zooming out, it would revert to the broader hierarchical structure. This alternative design aims to offer users flexibility in exploring the data at varying levels of detail, promoting a more dynamic and customizable user experience.</w:t>
      </w:r>
    </w:p>
    <w:p w14:paraId="1EEC31EF" w14:textId="77777777" w:rsidR="001874A3" w:rsidRDefault="001874A3" w:rsidP="0031367C">
      <w:pPr>
        <w:spacing w:afterLines="26" w:after="62" w:line="26" w:lineRule="atLeast"/>
        <w:rPr>
          <w:rFonts w:ascii="Times New Roman" w:hAnsi="Times New Roman" w:cs="Times New Roman"/>
          <w:color w:val="000000"/>
          <w:sz w:val="24"/>
          <w:szCs w:val="24"/>
        </w:rPr>
      </w:pPr>
    </w:p>
    <w:p w14:paraId="79270582" w14:textId="6EE0A8F7" w:rsidR="00B27B1C" w:rsidRDefault="00B27B1C" w:rsidP="00706B4B">
      <w:pPr>
        <w:spacing w:afterLines="26" w:after="62" w:line="26" w:lineRule="atLeast"/>
        <w:jc w:val="both"/>
        <w:rPr>
          <w:rFonts w:ascii="Times New Roman" w:hAnsi="Times New Roman" w:cs="Times New Roman"/>
          <w:color w:val="000000"/>
          <w:sz w:val="24"/>
          <w:szCs w:val="24"/>
        </w:rPr>
      </w:pPr>
      <w:r w:rsidRPr="00B27B1C">
        <w:rPr>
          <w:rFonts w:ascii="Times New Roman" w:hAnsi="Times New Roman" w:cs="Times New Roman"/>
          <w:color w:val="000000"/>
          <w:sz w:val="24"/>
          <w:szCs w:val="24"/>
        </w:rPr>
        <w:lastRenderedPageBreak/>
        <w:t>For the sunburst chart visual encoding, we employ the size as the primary mark, where each segment represents a distinct age group. The channels utilized include color hue to represent different age groups and years, providing a clear visual distinction between categories. The angle of each segment corresponds to the proportion of individuals in a specific age group, while the size of the segments can be used to convey an additional attribute, such as population size. The idioms involved in sunburst charts include the use of radial layout to represent hierarchical data, with rings indicating different levels, such as years or regions. The color hue is used as a categorical channel, allowing users to easily identify and compare age groups. The sunburst chart's hierarchical structure aids in understanding the distribution of age across different categories, offering a visually intuitive representation of age demographics. This sunburst chart primarily utilizes containment marks. The hierarchical structure of a sunburst chart involves nested circles or rings, representing parent and child relationships.</w:t>
      </w:r>
    </w:p>
    <w:p w14:paraId="56B0273D" w14:textId="77777777" w:rsidR="00C503A3" w:rsidRDefault="00C503A3" w:rsidP="00706B4B">
      <w:pPr>
        <w:spacing w:afterLines="26" w:after="62" w:line="26" w:lineRule="atLeast"/>
        <w:jc w:val="both"/>
        <w:rPr>
          <w:rFonts w:ascii="Times New Roman" w:hAnsi="Times New Roman" w:cs="Times New Roman"/>
          <w:color w:val="000000"/>
          <w:sz w:val="24"/>
          <w:szCs w:val="24"/>
        </w:rPr>
      </w:pPr>
    </w:p>
    <w:p w14:paraId="6C33B288" w14:textId="1027E909" w:rsidR="00C503A3" w:rsidRDefault="00C503A3" w:rsidP="00706B4B">
      <w:pPr>
        <w:spacing w:afterLines="26" w:after="62" w:line="26" w:lineRule="atLeast"/>
        <w:jc w:val="both"/>
        <w:rPr>
          <w:rFonts w:ascii="Times New Roman" w:hAnsi="Times New Roman" w:cs="Times New Roman"/>
          <w:color w:val="000000"/>
          <w:sz w:val="24"/>
          <w:szCs w:val="24"/>
        </w:rPr>
      </w:pPr>
      <w:r w:rsidRPr="00C503A3">
        <w:rPr>
          <w:rFonts w:ascii="Times New Roman" w:hAnsi="Times New Roman" w:cs="Times New Roman"/>
          <w:color w:val="000000"/>
          <w:sz w:val="24"/>
          <w:szCs w:val="24"/>
        </w:rPr>
        <w:t xml:space="preserve">The evolution of the sunburst chart design involved a thoughtful and iterative process to refine both its aesthetic appeal and interactive features. In the initial design phase, our focus was on incorporating interactive elements to enrich user engagement and understanding. We introduced tooltips that would provide detailed information upon hovering over specific segments, revealing insights into the hierarchical structure of the data. As the design progressed, we addressed the need for clear visual cues by assigning distinct colors to represent various age groups and different years within the sunburst chart. This color-coded approach aimed to enhance users' ability to interpret the data effortlessly. To further aid interpretation, a legend was incorporated into the design. The legend served as a guide for users to comprehend the color-coded categories within the chart, providing additional clarity and context. In a subsequent phase, we introduced filter buttons to allow users to interactively explore the data based on specific criteria. Upon activation of these filter buttons, a complementary table form was presented, enabling users to access more detailed data and facilitating a more comprehensive understanding of the information. Throughout these stages, we consider the exploration of alternative ideas, such as considering a radial layout adjustment. Although this alternative idea was conceptualized, the decision was made to maintain the traditional circular layout for its intuitive representation of hierarchical </w:t>
      </w:r>
      <w:proofErr w:type="spellStart"/>
      <w:proofErr w:type="gramStart"/>
      <w:r w:rsidRPr="00C503A3">
        <w:rPr>
          <w:rFonts w:ascii="Times New Roman" w:hAnsi="Times New Roman" w:cs="Times New Roman"/>
          <w:color w:val="000000"/>
          <w:sz w:val="24"/>
          <w:szCs w:val="24"/>
        </w:rPr>
        <w:t>data.In</w:t>
      </w:r>
      <w:proofErr w:type="spellEnd"/>
      <w:proofErr w:type="gramEnd"/>
      <w:r w:rsidRPr="00C503A3">
        <w:rPr>
          <w:rFonts w:ascii="Times New Roman" w:hAnsi="Times New Roman" w:cs="Times New Roman"/>
          <w:color w:val="000000"/>
          <w:sz w:val="24"/>
          <w:szCs w:val="24"/>
        </w:rPr>
        <w:t xml:space="preserve"> the final design, the sunburst chart evolved into a well-balanced visualization that harmoniously integrates aesthetics and functionality. The interactive elements, distinct colors, legend, and filter buttons collectively contribute to a seamless and informative user experience.</w:t>
      </w:r>
    </w:p>
    <w:p w14:paraId="6981DF84" w14:textId="77777777" w:rsidR="001874A3" w:rsidRDefault="001874A3" w:rsidP="0031367C">
      <w:pPr>
        <w:spacing w:afterLines="26" w:after="62" w:line="26" w:lineRule="atLeast"/>
        <w:rPr>
          <w:rFonts w:ascii="Times New Roman" w:hAnsi="Times New Roman" w:cs="Times New Roman"/>
          <w:color w:val="000000"/>
          <w:sz w:val="24"/>
          <w:szCs w:val="24"/>
        </w:rPr>
      </w:pPr>
    </w:p>
    <w:p w14:paraId="025B6E83" w14:textId="0BF707A0"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lastRenderedPageBreak/>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Default="00A3423F" w:rsidP="0031367C">
      <w:pPr>
        <w:spacing w:afterLines="26" w:after="62" w:line="26" w:lineRule="atLeast"/>
        <w:rPr>
          <w:rFonts w:ascii="Times New Roman" w:hAnsi="Times New Roman" w:cs="Times New Roman"/>
          <w:color w:val="000000"/>
          <w:sz w:val="24"/>
          <w:szCs w:val="24"/>
        </w:rPr>
      </w:pPr>
    </w:p>
    <w:p w14:paraId="04D1CAF1" w14:textId="7CA4D00D" w:rsidR="005074D8" w:rsidRDefault="00AF1BB5" w:rsidP="005074D8">
      <w:pPr>
        <w:spacing w:afterLines="26" w:after="62" w:line="26" w:lineRule="atLeast"/>
        <w:jc w:val="both"/>
        <w:rPr>
          <w:rFonts w:ascii="Times New Roman" w:hAnsi="Times New Roman" w:cs="Times New Roman"/>
          <w:color w:val="000000"/>
          <w:sz w:val="24"/>
          <w:szCs w:val="24"/>
        </w:rPr>
      </w:pPr>
      <w:r w:rsidRPr="00AF1BB5">
        <w:rPr>
          <w:rFonts w:ascii="Times New Roman" w:hAnsi="Times New Roman" w:cs="Times New Roman"/>
          <w:color w:val="000000"/>
          <w:sz w:val="24"/>
          <w:szCs w:val="24"/>
        </w:rPr>
        <w:t xml:space="preserve">In the final design of the sunburst chart visualization, we followed the sketch design and successfully developed it and we aimed to create a user-friendly and visually appealing experience. </w:t>
      </w:r>
      <w:r w:rsidR="005074D8" w:rsidRPr="005074D8">
        <w:rPr>
          <w:rFonts w:ascii="Times New Roman" w:hAnsi="Times New Roman" w:cs="Times New Roman"/>
          <w:color w:val="000000"/>
          <w:sz w:val="24"/>
          <w:szCs w:val="24"/>
        </w:rPr>
        <w:t>The chart incorporates several interactive elements to enhance user engagement and understanding. Tooltips have been implemented, providing detailed information when users hover over specific segments. This feature offers insights into the hierarchical structure of the data, allowing for a deeper exploration of the information. Distinct colors have been carefully assigned to represent various age groups and different years within the sunburst chart. This color-coded approach serves as a visual aid, facilitating users in interpreting the data effortlessly and distinguishing between different categories. To provide additional context and clarity, a legend has been integrated into the design. The legend guides users in comprehending the color-coded categories within the chart, adding a layer of interpretability to the visual representation. The inclusion of filter buttons enhances interactivity, allowing users to explore data based on specific criteria. Upon activation of these filter buttons, a table form is presented, providing users with access to more detailed data in table form. This interactive feature ensures a comprehensive understanding of the information and allows users to customize their exploration. Throughout the design process, user feedback and iterative adjustments played a crucial role in refining the visual elements and interactive features. The final sunburst chart design achieves a harmonious blend of aesthetics and functionality, providing users with a smooth and informative experience when exploring hierarchical data.</w:t>
      </w:r>
    </w:p>
    <w:p w14:paraId="2845F11B" w14:textId="77777777" w:rsidR="005074D8" w:rsidRPr="00FA14AB" w:rsidRDefault="005074D8" w:rsidP="00F35106">
      <w:pPr>
        <w:spacing w:afterLines="26" w:after="62" w:line="26" w:lineRule="atLeast"/>
        <w:jc w:val="both"/>
        <w:rPr>
          <w:rFonts w:ascii="Times New Roman" w:hAnsi="Times New Roman" w:cs="Times New Roman"/>
          <w:color w:val="000000"/>
          <w:sz w:val="24"/>
          <w:szCs w:val="24"/>
        </w:rPr>
      </w:pPr>
    </w:p>
    <w:p w14:paraId="4BF468CE" w14:textId="1ABDC12A" w:rsidR="00A3423F" w:rsidRPr="00FA14AB" w:rsidRDefault="00A3423F" w:rsidP="00F35106">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F35106">
      <w:pPr>
        <w:spacing w:afterLines="26" w:after="62" w:line="26" w:lineRule="atLeast"/>
        <w:jc w:val="both"/>
        <w:rPr>
          <w:rFonts w:ascii="Times New Roman" w:hAnsi="Times New Roman" w:cs="Times New Roman"/>
          <w:color w:val="000000"/>
          <w:sz w:val="24"/>
          <w:szCs w:val="24"/>
        </w:rPr>
      </w:pPr>
    </w:p>
    <w:p w14:paraId="6C6EE21E" w14:textId="6DCE1CC2" w:rsidR="00731E9E" w:rsidRDefault="00731E9E" w:rsidP="00F35106">
      <w:pPr>
        <w:spacing w:afterLines="26" w:after="62" w:line="26" w:lineRule="atLeast"/>
        <w:jc w:val="both"/>
        <w:rPr>
          <w:rFonts w:ascii="Times New Roman" w:hAnsi="Times New Roman" w:cs="Times New Roman"/>
          <w:color w:val="000000"/>
          <w:sz w:val="24"/>
          <w:szCs w:val="24"/>
        </w:rPr>
      </w:pPr>
    </w:p>
    <w:p w14:paraId="17322B5A" w14:textId="7AB5CC52" w:rsidR="00AA6D58" w:rsidRDefault="00AA6D58" w:rsidP="00F35106">
      <w:pPr>
        <w:spacing w:afterLines="26" w:after="62" w:line="26" w:lineRule="atLeast"/>
        <w:jc w:val="both"/>
        <w:rPr>
          <w:rFonts w:ascii="Times New Roman" w:hAnsi="Times New Roman" w:cs="Times New Roman"/>
          <w:color w:val="000000"/>
          <w:sz w:val="24"/>
          <w:szCs w:val="24"/>
        </w:rPr>
      </w:pPr>
    </w:p>
    <w:p w14:paraId="0CAB2523" w14:textId="77777777" w:rsidR="00AA6D58" w:rsidRPr="00FA14AB" w:rsidRDefault="00AA6D58" w:rsidP="00F35106">
      <w:pPr>
        <w:spacing w:afterLines="26" w:after="62" w:line="26" w:lineRule="atLeast"/>
        <w:jc w:val="both"/>
        <w:rPr>
          <w:rFonts w:ascii="Times New Roman" w:hAnsi="Times New Roman" w:cs="Times New Roman"/>
          <w:color w:val="000000"/>
          <w:sz w:val="24"/>
          <w:szCs w:val="24"/>
        </w:rPr>
      </w:pPr>
    </w:p>
    <w:p w14:paraId="2BA502A2" w14:textId="5DF6C8E8" w:rsidR="00A73DEC" w:rsidRPr="00137263" w:rsidRDefault="00EC6C3C" w:rsidP="00184C7E">
      <w:pPr>
        <w:jc w:val="both"/>
        <w:rPr>
          <w:rFonts w:ascii="Times New Roman" w:hAnsi="Times New Roman" w:cs="Times New Roman"/>
          <w:b/>
          <w:bCs/>
          <w:sz w:val="24"/>
          <w:szCs w:val="24"/>
        </w:rPr>
      </w:pPr>
      <w:r w:rsidRPr="00137263">
        <w:rPr>
          <w:rFonts w:ascii="Times New Roman" w:hAnsi="Times New Roman" w:cs="Times New Roman"/>
          <w:b/>
          <w:bCs/>
          <w:sz w:val="24"/>
          <w:szCs w:val="24"/>
        </w:rPr>
        <w:lastRenderedPageBreak/>
        <w:t xml:space="preserve">Stacked </w:t>
      </w:r>
      <w:r w:rsidR="00AA6D58" w:rsidRPr="00137263">
        <w:rPr>
          <w:rFonts w:ascii="Times New Roman" w:hAnsi="Times New Roman" w:cs="Times New Roman"/>
          <w:b/>
          <w:bCs/>
          <w:sz w:val="24"/>
          <w:szCs w:val="24"/>
        </w:rPr>
        <w:t>B</w:t>
      </w:r>
      <w:r w:rsidRPr="00137263">
        <w:rPr>
          <w:rFonts w:ascii="Times New Roman" w:hAnsi="Times New Roman" w:cs="Times New Roman"/>
          <w:b/>
          <w:bCs/>
          <w:sz w:val="24"/>
          <w:szCs w:val="24"/>
        </w:rPr>
        <w:t xml:space="preserve">ar </w:t>
      </w:r>
      <w:r w:rsidR="00AA6D58" w:rsidRPr="00137263">
        <w:rPr>
          <w:rFonts w:ascii="Times New Roman" w:hAnsi="Times New Roman" w:cs="Times New Roman"/>
          <w:b/>
          <w:bCs/>
          <w:sz w:val="24"/>
          <w:szCs w:val="24"/>
        </w:rPr>
        <w:t>C</w:t>
      </w:r>
      <w:r w:rsidRPr="00137263">
        <w:rPr>
          <w:rFonts w:ascii="Times New Roman" w:hAnsi="Times New Roman" w:cs="Times New Roman"/>
          <w:b/>
          <w:bCs/>
          <w:sz w:val="24"/>
          <w:szCs w:val="24"/>
        </w:rPr>
        <w:t xml:space="preserve">hart: Disease </w:t>
      </w:r>
      <w:proofErr w:type="gramStart"/>
      <w:r w:rsidR="00E000F5" w:rsidRPr="00137263">
        <w:rPr>
          <w:rFonts w:ascii="Times New Roman" w:hAnsi="Times New Roman" w:cs="Times New Roman"/>
          <w:b/>
          <w:bCs/>
          <w:sz w:val="24"/>
          <w:szCs w:val="24"/>
        </w:rPr>
        <w:t>L</w:t>
      </w:r>
      <w:r w:rsidRPr="00137263">
        <w:rPr>
          <w:rFonts w:ascii="Times New Roman" w:hAnsi="Times New Roman" w:cs="Times New Roman"/>
          <w:b/>
          <w:bCs/>
          <w:sz w:val="24"/>
          <w:szCs w:val="24"/>
        </w:rPr>
        <w:t>ead</w:t>
      </w:r>
      <w:proofErr w:type="gramEnd"/>
      <w:r w:rsidRPr="00137263">
        <w:rPr>
          <w:rFonts w:ascii="Times New Roman" w:hAnsi="Times New Roman" w:cs="Times New Roman"/>
          <w:b/>
          <w:bCs/>
          <w:sz w:val="24"/>
          <w:szCs w:val="24"/>
        </w:rPr>
        <w:t xml:space="preserve"> to </w:t>
      </w:r>
      <w:r w:rsidR="00E000F5" w:rsidRPr="00137263">
        <w:rPr>
          <w:rFonts w:ascii="Times New Roman" w:hAnsi="Times New Roman" w:cs="Times New Roman"/>
          <w:b/>
          <w:bCs/>
          <w:sz w:val="24"/>
          <w:szCs w:val="24"/>
        </w:rPr>
        <w:t>M</w:t>
      </w:r>
      <w:r w:rsidRPr="00137263">
        <w:rPr>
          <w:rFonts w:ascii="Times New Roman" w:hAnsi="Times New Roman" w:cs="Times New Roman"/>
          <w:b/>
          <w:bCs/>
          <w:sz w:val="24"/>
          <w:szCs w:val="24"/>
        </w:rPr>
        <w:t>igration</w:t>
      </w:r>
    </w:p>
    <w:p w14:paraId="7462C303" w14:textId="511521E7" w:rsidR="00A73DEC" w:rsidRPr="00184C7E" w:rsidRDefault="00916513" w:rsidP="00184C7E">
      <w:pPr>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32C27967" w14:textId="68CB89E5" w:rsidR="00E000F5" w:rsidRPr="00184C7E" w:rsidRDefault="00E000F5" w:rsidP="00184C7E">
      <w:pPr>
        <w:jc w:val="both"/>
        <w:rPr>
          <w:rFonts w:ascii="Times New Roman" w:hAnsi="Times New Roman" w:cs="Times New Roman"/>
          <w:sz w:val="24"/>
          <w:szCs w:val="24"/>
        </w:rPr>
      </w:pPr>
    </w:p>
    <w:p w14:paraId="42D8E2CA" w14:textId="1497EBF9" w:rsidR="00E000F5"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t xml:space="preserve">A stacked bar chart is currently used to display the data. Each bar chart shows the disease category of male of different age.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distinguishes these male range and provide reference to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In addition, mouseover and tooltip are integrated to enhance interactivity. The reason is to allow the user to get more information by hovering over a particular element.</w:t>
      </w:r>
    </w:p>
    <w:p w14:paraId="234474EB" w14:textId="77777777" w:rsidR="00AA6D58" w:rsidRPr="00184C7E" w:rsidRDefault="00AA6D58" w:rsidP="00184C7E">
      <w:pPr>
        <w:jc w:val="both"/>
        <w:rPr>
          <w:rFonts w:ascii="Times New Roman" w:hAnsi="Times New Roman" w:cs="Times New Roman"/>
          <w:sz w:val="24"/>
          <w:szCs w:val="24"/>
        </w:rPr>
      </w:pPr>
    </w:p>
    <w:p w14:paraId="175DC9D3" w14:textId="5560CA53" w:rsidR="00E000F5"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t>Moreover, another alternative visualization is grouped bar chart where bar chart is grouped by disease category with each group containing two bar charts representing male of different age. Such a design could provide clearer comparison between disease category while still allowing user to distinguish between male of different age in each group.</w:t>
      </w:r>
      <w:r w:rsidR="00184C7E" w:rsidRPr="00184C7E">
        <w:rPr>
          <w:rFonts w:ascii="Times New Roman" w:hAnsi="Times New Roman" w:cs="Times New Roman"/>
          <w:sz w:val="24"/>
          <w:szCs w:val="24"/>
        </w:rPr>
        <w:t xml:space="preserve"> </w:t>
      </w:r>
      <w:r w:rsidRPr="00184C7E">
        <w:rPr>
          <w:rFonts w:ascii="Times New Roman" w:hAnsi="Times New Roman" w:cs="Times New Roman"/>
          <w:sz w:val="24"/>
          <w:szCs w:val="24"/>
        </w:rPr>
        <w:t>Another option is to explore the stacked area chart. This will maintain the concept of showing the composition of each disease category in a continuous and flowing manner. This is especially useful if need to emphasize the cumulative nature of data across different dimension.</w:t>
      </w:r>
    </w:p>
    <w:p w14:paraId="63212560" w14:textId="77777777" w:rsidR="00AA6D58" w:rsidRPr="00184C7E" w:rsidRDefault="00AA6D58" w:rsidP="00184C7E">
      <w:pPr>
        <w:jc w:val="both"/>
        <w:rPr>
          <w:rFonts w:ascii="Times New Roman" w:hAnsi="Times New Roman" w:cs="Times New Roman"/>
          <w:sz w:val="24"/>
          <w:szCs w:val="24"/>
        </w:rPr>
      </w:pPr>
    </w:p>
    <w:p w14:paraId="0414624C" w14:textId="7D3EA625" w:rsidR="00E000F5"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t xml:space="preserve">Stacked bar chart is suitable for showing the composition of each disease category and the distribution of male of different age within it.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helps to easily distinguish between male of different age and ensure the clarity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Mouseover and tooltip add a layer of interactivity. The reason for this is to enable the user to explore the detail of a particular element without disrupting the overall view.</w:t>
      </w:r>
    </w:p>
    <w:p w14:paraId="6778CB08" w14:textId="77777777" w:rsidR="00184C7E" w:rsidRPr="00184C7E" w:rsidRDefault="00184C7E" w:rsidP="00184C7E">
      <w:pPr>
        <w:jc w:val="both"/>
        <w:rPr>
          <w:rFonts w:ascii="Times New Roman" w:hAnsi="Times New Roman" w:cs="Times New Roman"/>
          <w:sz w:val="24"/>
          <w:szCs w:val="24"/>
        </w:rPr>
      </w:pPr>
    </w:p>
    <w:p w14:paraId="1D0BAB65" w14:textId="09A3C9D1" w:rsidR="00E000F5"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lastRenderedPageBreak/>
        <w:t xml:space="preserve">In the evolution of the design, it started with a basic clustered stacked bar chart. After doing the clustered stacked bar chart, it was found that the female dataset did not fit because it had a lot of unnecessary data that needed to be deleted. Next,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is introduced to solve the clarity problem. The addition of mouseover and tooltip was later enhanced to improve the user experience and provide more detailed information as needed. These iterative changes are guided by a user-centered design approach that aim to make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more intuitive and informative.</w:t>
      </w:r>
    </w:p>
    <w:p w14:paraId="6B8206A7" w14:textId="77777777" w:rsidR="00AA6D58" w:rsidRPr="00184C7E" w:rsidRDefault="00AA6D58" w:rsidP="00184C7E">
      <w:pPr>
        <w:jc w:val="both"/>
        <w:rPr>
          <w:rFonts w:ascii="Times New Roman" w:hAnsi="Times New Roman" w:cs="Times New Roman"/>
          <w:sz w:val="24"/>
          <w:szCs w:val="24"/>
        </w:rPr>
      </w:pPr>
    </w:p>
    <w:p w14:paraId="5FA90B61" w14:textId="001E27A9" w:rsidR="00A73DEC"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t xml:space="preserve">The stacked bar chart was chosen because it effectively illustrates the composition of each disease category and the distribution of male of different age. This format is particularly useful when the focus is on comparing the relative range of male of different age in each disease category.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coding facilitate quick identification and interactive feature enhance user engagement. Given the nature of the data and the insight sought, stacked bar chart are still a visually effective and user-friendly option.</w:t>
      </w:r>
    </w:p>
    <w:p w14:paraId="1FE4280F" w14:textId="77777777" w:rsidR="00E000F5" w:rsidRPr="00184C7E" w:rsidRDefault="00E000F5" w:rsidP="00184C7E">
      <w:pPr>
        <w:jc w:val="both"/>
        <w:rPr>
          <w:rFonts w:ascii="Times New Roman" w:hAnsi="Times New Roman" w:cs="Times New Roman"/>
          <w:sz w:val="24"/>
          <w:szCs w:val="24"/>
        </w:rPr>
      </w:pPr>
    </w:p>
    <w:p w14:paraId="2AD82649" w14:textId="62ED073C" w:rsidR="00EC6C3C" w:rsidRPr="00137263" w:rsidRDefault="00EC6C3C" w:rsidP="00184C7E">
      <w:pPr>
        <w:jc w:val="both"/>
        <w:rPr>
          <w:rFonts w:ascii="Times New Roman" w:hAnsi="Times New Roman" w:cs="Times New Roman"/>
          <w:b/>
          <w:bCs/>
          <w:sz w:val="24"/>
          <w:szCs w:val="24"/>
        </w:rPr>
      </w:pPr>
      <w:r w:rsidRPr="00137263">
        <w:rPr>
          <w:rFonts w:ascii="Times New Roman" w:hAnsi="Times New Roman" w:cs="Times New Roman"/>
          <w:b/>
          <w:bCs/>
          <w:sz w:val="24"/>
          <w:szCs w:val="24"/>
        </w:rPr>
        <w:t xml:space="preserve">Final </w:t>
      </w:r>
      <w:r w:rsidR="00137263">
        <w:rPr>
          <w:rFonts w:ascii="Times New Roman" w:hAnsi="Times New Roman" w:cs="Times New Roman"/>
          <w:b/>
          <w:bCs/>
          <w:sz w:val="24"/>
          <w:szCs w:val="24"/>
        </w:rPr>
        <w:t>D</w:t>
      </w:r>
      <w:r w:rsidRPr="00137263">
        <w:rPr>
          <w:rFonts w:ascii="Times New Roman" w:hAnsi="Times New Roman" w:cs="Times New Roman"/>
          <w:b/>
          <w:bCs/>
          <w:sz w:val="24"/>
          <w:szCs w:val="24"/>
        </w:rPr>
        <w:t xml:space="preserve">esign of </w:t>
      </w:r>
      <w:r w:rsidR="00137263">
        <w:rPr>
          <w:rFonts w:ascii="Times New Roman" w:hAnsi="Times New Roman" w:cs="Times New Roman"/>
          <w:b/>
          <w:bCs/>
          <w:sz w:val="24"/>
          <w:szCs w:val="24"/>
        </w:rPr>
        <w:t>C</w:t>
      </w:r>
      <w:r w:rsidRPr="00137263">
        <w:rPr>
          <w:rFonts w:ascii="Times New Roman" w:hAnsi="Times New Roman" w:cs="Times New Roman"/>
          <w:b/>
          <w:bCs/>
          <w:sz w:val="24"/>
          <w:szCs w:val="24"/>
        </w:rPr>
        <w:t>hart:</w:t>
      </w:r>
    </w:p>
    <w:p w14:paraId="3BEC15ED" w14:textId="77777777" w:rsidR="00EC6C3C" w:rsidRPr="00184C7E" w:rsidRDefault="00EC6C3C" w:rsidP="00184C7E">
      <w:pPr>
        <w:jc w:val="both"/>
        <w:rPr>
          <w:rFonts w:ascii="Times New Roman" w:hAnsi="Times New Roman" w:cs="Times New Roman"/>
          <w:sz w:val="24"/>
          <w:szCs w:val="24"/>
        </w:rPr>
      </w:pPr>
    </w:p>
    <w:p w14:paraId="6A88CA32" w14:textId="66E36023" w:rsidR="00731E9E" w:rsidRPr="00184C7E" w:rsidRDefault="00731E9E" w:rsidP="00184C7E">
      <w:pPr>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B2A36AB" w:rsidR="00A3423F" w:rsidRPr="00184C7E" w:rsidRDefault="00A3423F" w:rsidP="00184C7E">
      <w:pPr>
        <w:jc w:val="both"/>
        <w:rPr>
          <w:rFonts w:ascii="Times New Roman" w:hAnsi="Times New Roman" w:cs="Times New Roman"/>
          <w:sz w:val="24"/>
          <w:szCs w:val="24"/>
        </w:rPr>
      </w:pPr>
    </w:p>
    <w:p w14:paraId="1D804991" w14:textId="3CD0A72E" w:rsidR="00E000F5" w:rsidRPr="00184C7E" w:rsidRDefault="00E000F5" w:rsidP="00184C7E">
      <w:pPr>
        <w:jc w:val="both"/>
        <w:rPr>
          <w:rFonts w:ascii="Times New Roman" w:hAnsi="Times New Roman" w:cs="Times New Roman"/>
          <w:sz w:val="24"/>
          <w:szCs w:val="24"/>
        </w:rPr>
      </w:pPr>
      <w:r w:rsidRPr="00184C7E">
        <w:rPr>
          <w:rFonts w:ascii="Times New Roman" w:hAnsi="Times New Roman" w:cs="Times New Roman"/>
          <w:sz w:val="24"/>
          <w:szCs w:val="24"/>
        </w:rPr>
        <w:t xml:space="preserve">In the final design iteration, we made improvement to the stacked bar chart to optimize the user experience and enhance data understanding. Combined with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is clearly association with specific male of different age to help user quickly identify. The addition of mouseover and tooltip enrich the interactivity. User can hover over individual bar to reveal additional context and detail to facilitate a more dynamic exploration of the data. In order to increase the focus of the selected bar when hovering, a subtle blur effect is implemented on another </w:t>
      </w:r>
      <w:r w:rsidRPr="00184C7E">
        <w:rPr>
          <w:rFonts w:ascii="Times New Roman" w:hAnsi="Times New Roman" w:cs="Times New Roman"/>
          <w:sz w:val="24"/>
          <w:szCs w:val="24"/>
        </w:rPr>
        <w:lastRenderedPageBreak/>
        <w:t xml:space="preserve">bar. The reason is to ensure that user can clearly focus on specific data point of interest. This intentional visual cue helps the user maintain orientation on the chart while highlighting the bar being examined. Together, these thoughtful improvements produce an aesthetically pleasing and user-friendly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that promote ease of data interpretation and engagement.</w:t>
      </w:r>
    </w:p>
    <w:p w14:paraId="2BAA6881" w14:textId="77777777" w:rsidR="00E000F5" w:rsidRPr="00184C7E" w:rsidRDefault="00E000F5" w:rsidP="0085389D">
      <w:pPr>
        <w:jc w:val="both"/>
        <w:rPr>
          <w:rFonts w:ascii="Times New Roman" w:hAnsi="Times New Roman" w:cs="Times New Roman"/>
          <w:sz w:val="24"/>
          <w:szCs w:val="24"/>
        </w:rPr>
      </w:pPr>
    </w:p>
    <w:p w14:paraId="43BE29D9" w14:textId="4D327084" w:rsidR="00A3423F" w:rsidRDefault="00A3423F" w:rsidP="0085389D">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3134A3A" w14:textId="77777777" w:rsidR="00E30F68" w:rsidRPr="00FA14AB" w:rsidRDefault="00E30F68" w:rsidP="0085389D">
      <w:pPr>
        <w:spacing w:afterLines="26" w:after="62" w:line="26" w:lineRule="atLeast"/>
        <w:jc w:val="both"/>
        <w:rPr>
          <w:rFonts w:ascii="Times New Roman" w:hAnsi="Times New Roman" w:cs="Times New Roman"/>
          <w:color w:val="000000"/>
          <w:sz w:val="24"/>
          <w:szCs w:val="24"/>
        </w:rPr>
      </w:pPr>
    </w:p>
    <w:p w14:paraId="027BCF1E" w14:textId="1F0FDD4E" w:rsidR="00A73DEC" w:rsidRPr="000275AC" w:rsidRDefault="00BD33C7" w:rsidP="00651187">
      <w:pPr>
        <w:spacing w:afterLines="26" w:after="62" w:line="26" w:lineRule="atLeast"/>
        <w:jc w:val="both"/>
        <w:rPr>
          <w:rFonts w:ascii="Times New Roman" w:hAnsi="Times New Roman" w:cs="Times New Roman"/>
          <w:b/>
          <w:bCs/>
          <w:color w:val="000000"/>
          <w:sz w:val="24"/>
          <w:szCs w:val="24"/>
        </w:rPr>
      </w:pPr>
      <w:r w:rsidRPr="000275AC">
        <w:rPr>
          <w:rFonts w:ascii="Times New Roman" w:hAnsi="Times New Roman" w:cs="Times New Roman"/>
          <w:b/>
          <w:bCs/>
          <w:color w:val="000000"/>
          <w:sz w:val="24"/>
          <w:szCs w:val="24"/>
        </w:rPr>
        <w:t xml:space="preserve">Bubble </w:t>
      </w:r>
      <w:r w:rsidR="00E30F68" w:rsidRPr="000275AC">
        <w:rPr>
          <w:rFonts w:ascii="Times New Roman" w:hAnsi="Times New Roman" w:cs="Times New Roman"/>
          <w:b/>
          <w:bCs/>
          <w:color w:val="000000"/>
          <w:sz w:val="24"/>
          <w:szCs w:val="24"/>
        </w:rPr>
        <w:t>C</w:t>
      </w:r>
      <w:r w:rsidRPr="000275AC">
        <w:rPr>
          <w:rFonts w:ascii="Times New Roman" w:hAnsi="Times New Roman" w:cs="Times New Roman"/>
          <w:b/>
          <w:bCs/>
          <w:color w:val="000000"/>
          <w:sz w:val="24"/>
          <w:szCs w:val="24"/>
        </w:rPr>
        <w:t>hart:</w:t>
      </w:r>
      <w:r w:rsidR="003838D8" w:rsidRPr="000275AC">
        <w:rPr>
          <w:rFonts w:ascii="Times New Roman" w:hAnsi="Times New Roman" w:cs="Times New Roman"/>
          <w:sz w:val="24"/>
          <w:szCs w:val="24"/>
        </w:rPr>
        <w:t xml:space="preserve"> </w:t>
      </w:r>
      <w:r w:rsidR="003838D8" w:rsidRPr="000275AC">
        <w:rPr>
          <w:rFonts w:ascii="Times New Roman" w:hAnsi="Times New Roman" w:cs="Times New Roman"/>
          <w:b/>
          <w:bCs/>
          <w:color w:val="000000"/>
          <w:sz w:val="24"/>
          <w:szCs w:val="24"/>
        </w:rPr>
        <w:t xml:space="preserve">Immigration </w:t>
      </w:r>
      <w:r w:rsidR="00AA6D58" w:rsidRPr="000275AC">
        <w:rPr>
          <w:rFonts w:ascii="Times New Roman" w:hAnsi="Times New Roman" w:cs="Times New Roman"/>
          <w:b/>
          <w:bCs/>
          <w:color w:val="000000"/>
          <w:sz w:val="24"/>
          <w:szCs w:val="24"/>
        </w:rPr>
        <w:t>f</w:t>
      </w:r>
      <w:r w:rsidR="003838D8" w:rsidRPr="000275AC">
        <w:rPr>
          <w:rFonts w:ascii="Times New Roman" w:hAnsi="Times New Roman" w:cs="Times New Roman"/>
          <w:b/>
          <w:bCs/>
          <w:color w:val="000000"/>
          <w:sz w:val="24"/>
          <w:szCs w:val="24"/>
        </w:rPr>
        <w:t>rom India to Other Countries</w:t>
      </w:r>
    </w:p>
    <w:p w14:paraId="62C55DCE" w14:textId="6256F7C5" w:rsidR="00A73DEC" w:rsidRPr="000275AC" w:rsidRDefault="00E000F5" w:rsidP="00651187">
      <w:pPr>
        <w:rPr>
          <w:rFonts w:ascii="Times New Roman" w:hAnsi="Times New Roman" w:cs="Times New Roman"/>
          <w:sz w:val="24"/>
          <w:szCs w:val="24"/>
        </w:rPr>
      </w:pPr>
      <w:r w:rsidRPr="000275AC">
        <w:rPr>
          <w:rFonts w:ascii="Times New Roman" w:hAnsi="Times New Roman" w:cs="Times New Roman"/>
          <w:noProof/>
          <w:sz w:val="24"/>
          <w:szCs w:val="24"/>
        </w:rPr>
        <w:drawing>
          <wp:inline distT="0" distB="0" distL="0" distR="0" wp14:anchorId="3D6C2B57" wp14:editId="5F36B6F1">
            <wp:extent cx="5943600" cy="3058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0D47B8C" w14:textId="77777777" w:rsidR="00F1312A" w:rsidRPr="000275AC" w:rsidRDefault="00F1312A" w:rsidP="000275AC">
      <w:pPr>
        <w:jc w:val="both"/>
        <w:rPr>
          <w:rFonts w:ascii="Times New Roman" w:hAnsi="Times New Roman" w:cs="Times New Roman"/>
          <w:sz w:val="24"/>
          <w:szCs w:val="24"/>
        </w:rPr>
      </w:pPr>
    </w:p>
    <w:p w14:paraId="62948A71"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filtering functionality, enabling users to group bubbles by geographic area or category (e.g., by state or population density). Users can also apply filters to display individuals from specific regions or population ranges. Furthermore, we intend to introduce filter buttons, ranging from lower to higher color ranges, where each color represents a different region name. This aims to provide users with a visual guide and enhance overall interpretability.</w:t>
      </w:r>
    </w:p>
    <w:p w14:paraId="778FF00F"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67F95593"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As an alternative idea to a bubble chart, consider using a radar chart. Unlike parallel coordinate plots, radar charts offer a more comprehensive understanding of data by representing multiple dimensions. Users can interactively select dimensions for tailored explorations, enhancing versatility. Another alternative is a parallel coordinate chart, providing an overview of various dimensions and correlations within immigration patterns.</w:t>
      </w:r>
    </w:p>
    <w:p w14:paraId="6354D86B"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8FF6FEA"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lastRenderedPageBreak/>
        <w:t>For the visual encoding of bubble charts, we represent numerical variables through bubble positions on the plane, facilitating visual comparisons. The horizontal and vertical axis positions represent two numerical variables (e.g., Immigrant Population from India and Percentage of Metro Area Population). Bubble sizes and color tones differentiate cause categories, aiding quick comprehension. Trends and clustering are applied to observe bubble distribution, aiding pattern and correlation understanding.</w:t>
      </w:r>
    </w:p>
    <w:p w14:paraId="0A754532"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FEC32D4"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The evolution of the bubble chart's design involved iterative improvements to enhance user experience. Initial focus on creating a basic bubble chart was followed by considerations for visual appeal and interactivity. Careful selection of color tones and markers ensures effective data encoding, maintaining clarity and visual appeal. Filter buttons were introduced for user convenience, allowing direct input for specific immigrant numbers.</w:t>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16A315CA" w:rsidR="004409A8"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Default="003F22DC" w:rsidP="0031367C">
      <w:pPr>
        <w:spacing w:afterLines="26" w:after="62" w:line="26" w:lineRule="atLeast"/>
        <w:rPr>
          <w:rFonts w:ascii="Times New Roman" w:hAnsi="Times New Roman" w:cs="Times New Roman"/>
          <w:color w:val="000000"/>
          <w:sz w:val="24"/>
          <w:szCs w:val="24"/>
        </w:rPr>
      </w:pPr>
    </w:p>
    <w:p w14:paraId="776BDB41" w14:textId="77777777" w:rsidR="003F22DC" w:rsidRPr="00F1312A" w:rsidRDefault="003F22DC" w:rsidP="003F22DC">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In the final design, tooltip and filter button functionality are incorporated. Different tones distinguish migration from various areas, while bubble size indicates the number and percentage of migration. This design ensures a user-friendly, interactive, and visually informative representation of migration data.</w:t>
      </w:r>
    </w:p>
    <w:p w14:paraId="0B19CA20" w14:textId="77777777" w:rsidR="003F22DC" w:rsidRPr="00FA14AB" w:rsidRDefault="003F22DC" w:rsidP="0031367C">
      <w:pPr>
        <w:spacing w:afterLines="26" w:after="62" w:line="26" w:lineRule="atLeast"/>
        <w:rPr>
          <w:rFonts w:ascii="Times New Roman" w:hAnsi="Times New Roman" w:cs="Times New Roman"/>
          <w:color w:val="000000"/>
          <w:sz w:val="24"/>
          <w:szCs w:val="24"/>
        </w:rPr>
      </w:pP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5E46C068" w:rsidR="00A3423F"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3DD2167" w14:textId="77777777" w:rsidR="00A73DEC" w:rsidRPr="006005CB"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lastRenderedPageBreak/>
        <w:t>Validation [optional - Bonus Points]</w:t>
      </w:r>
      <w:bookmarkEnd w:id="11"/>
    </w:p>
    <w:p w14:paraId="75572B81" w14:textId="53D7E6E5" w:rsidR="00A73DEC"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04995FEB" wp14:editId="3FCF7393">
            <wp:extent cx="5943600" cy="28365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6545"/>
                    </a:xfrm>
                    <a:prstGeom prst="rect">
                      <a:avLst/>
                    </a:prstGeom>
                    <a:ln>
                      <a:solidFill>
                        <a:schemeClr val="tx1"/>
                      </a:solidFill>
                    </a:ln>
                  </pic:spPr>
                </pic:pic>
              </a:graphicData>
            </a:graphic>
          </wp:inline>
        </w:drawing>
      </w:r>
    </w:p>
    <w:p w14:paraId="1CC1D402" w14:textId="1D65E7C4"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2D01F8BB" wp14:editId="472AC3C7">
            <wp:extent cx="5943600" cy="24790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9040"/>
                    </a:xfrm>
                    <a:prstGeom prst="rect">
                      <a:avLst/>
                    </a:prstGeom>
                    <a:ln>
                      <a:solidFill>
                        <a:schemeClr val="tx1"/>
                      </a:solidFill>
                    </a:ln>
                  </pic:spPr>
                </pic:pic>
              </a:graphicData>
            </a:graphic>
          </wp:inline>
        </w:drawing>
      </w:r>
    </w:p>
    <w:p w14:paraId="6979052B" w14:textId="5E871479"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lastRenderedPageBreak/>
        <w:drawing>
          <wp:inline distT="0" distB="0" distL="0" distR="0" wp14:anchorId="4F1D853E" wp14:editId="3E58E359">
            <wp:extent cx="5943600" cy="2397760"/>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7760"/>
                    </a:xfrm>
                    <a:prstGeom prst="rect">
                      <a:avLst/>
                    </a:prstGeom>
                    <a:ln>
                      <a:solidFill>
                        <a:schemeClr val="tx1"/>
                      </a:solidFill>
                    </a:ln>
                  </pic:spPr>
                </pic:pic>
              </a:graphicData>
            </a:graphic>
          </wp:inline>
        </w:drawing>
      </w:r>
    </w:p>
    <w:p w14:paraId="7F29427D" w14:textId="6D99FCF5"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53343483" wp14:editId="00AAD6E4">
            <wp:extent cx="5943600" cy="26174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7470"/>
                    </a:xfrm>
                    <a:prstGeom prst="rect">
                      <a:avLst/>
                    </a:prstGeom>
                    <a:ln>
                      <a:solidFill>
                        <a:schemeClr val="tx1"/>
                      </a:solidFill>
                    </a:ln>
                  </pic:spPr>
                </pic:pic>
              </a:graphicData>
            </a:graphic>
          </wp:inline>
        </w:drawing>
      </w:r>
    </w:p>
    <w:p w14:paraId="478A3066" w14:textId="61B333BB"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73BB588B" wp14:editId="30EE38CD">
            <wp:extent cx="5943600" cy="238760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87600"/>
                    </a:xfrm>
                    <a:prstGeom prst="rect">
                      <a:avLst/>
                    </a:prstGeom>
                    <a:ln>
                      <a:solidFill>
                        <a:schemeClr val="tx1"/>
                      </a:solidFill>
                    </a:ln>
                  </pic:spPr>
                </pic:pic>
              </a:graphicData>
            </a:graphic>
          </wp:inline>
        </w:drawing>
      </w:r>
    </w:p>
    <w:p w14:paraId="32D47323" w14:textId="349C9F14"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lastRenderedPageBreak/>
        <w:drawing>
          <wp:inline distT="0" distB="0" distL="0" distR="0" wp14:anchorId="71586988" wp14:editId="7117716C">
            <wp:extent cx="5943600" cy="354584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5840"/>
                    </a:xfrm>
                    <a:prstGeom prst="rect">
                      <a:avLst/>
                    </a:prstGeom>
                    <a:ln>
                      <a:solidFill>
                        <a:schemeClr val="tx1"/>
                      </a:solidFill>
                    </a:ln>
                  </pic:spPr>
                </pic:pic>
              </a:graphicData>
            </a:graphic>
          </wp:inline>
        </w:drawing>
      </w:r>
    </w:p>
    <w:p w14:paraId="778FA398" w14:textId="58C167D8"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49D58ED5" wp14:editId="1BB031A7">
            <wp:extent cx="5943600" cy="184594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5945"/>
                    </a:xfrm>
                    <a:prstGeom prst="rect">
                      <a:avLst/>
                    </a:prstGeom>
                    <a:ln>
                      <a:solidFill>
                        <a:schemeClr val="tx1"/>
                      </a:solidFill>
                    </a:ln>
                  </pic:spPr>
                </pic:pic>
              </a:graphicData>
            </a:graphic>
          </wp:inline>
        </w:drawing>
      </w:r>
    </w:p>
    <w:p w14:paraId="0EB9AABB" w14:textId="0638F105"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lastRenderedPageBreak/>
        <w:drawing>
          <wp:inline distT="0" distB="0" distL="0" distR="0" wp14:anchorId="034FCEE4" wp14:editId="0F1A46EC">
            <wp:extent cx="5943600" cy="2541905"/>
            <wp:effectExtent l="19050" t="19050" r="1905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1905"/>
                    </a:xfrm>
                    <a:prstGeom prst="rect">
                      <a:avLst/>
                    </a:prstGeom>
                    <a:ln>
                      <a:solidFill>
                        <a:schemeClr val="tx1"/>
                      </a:solidFill>
                    </a:ln>
                  </pic:spPr>
                </pic:pic>
              </a:graphicData>
            </a:graphic>
          </wp:inline>
        </w:drawing>
      </w:r>
    </w:p>
    <w:p w14:paraId="5182F1AE" w14:textId="7A5362FC"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6DF155E0" wp14:editId="418C8766">
            <wp:extent cx="5943600" cy="1661795"/>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61795"/>
                    </a:xfrm>
                    <a:prstGeom prst="rect">
                      <a:avLst/>
                    </a:prstGeom>
                    <a:ln>
                      <a:solidFill>
                        <a:schemeClr val="tx1"/>
                      </a:solidFill>
                    </a:ln>
                  </pic:spPr>
                </pic:pic>
              </a:graphicData>
            </a:graphic>
          </wp:inline>
        </w:drawing>
      </w:r>
    </w:p>
    <w:p w14:paraId="6C094A91" w14:textId="6E62BF46"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568D12FF" wp14:editId="2F5353AA">
            <wp:extent cx="5943600" cy="27730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3045"/>
                    </a:xfrm>
                    <a:prstGeom prst="rect">
                      <a:avLst/>
                    </a:prstGeom>
                    <a:ln>
                      <a:solidFill>
                        <a:schemeClr val="tx1"/>
                      </a:solidFill>
                    </a:ln>
                  </pic:spPr>
                </pic:pic>
              </a:graphicData>
            </a:graphic>
          </wp:inline>
        </w:drawing>
      </w:r>
    </w:p>
    <w:p w14:paraId="5D50DF35" w14:textId="50E6984A"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lastRenderedPageBreak/>
        <w:drawing>
          <wp:inline distT="0" distB="0" distL="0" distR="0" wp14:anchorId="7CCC9BA1" wp14:editId="00CEC23C">
            <wp:extent cx="5943600" cy="2937510"/>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7510"/>
                    </a:xfrm>
                    <a:prstGeom prst="rect">
                      <a:avLst/>
                    </a:prstGeom>
                    <a:ln>
                      <a:solidFill>
                        <a:schemeClr val="tx1"/>
                      </a:solidFill>
                    </a:ln>
                  </pic:spPr>
                </pic:pic>
              </a:graphicData>
            </a:graphic>
          </wp:inline>
        </w:drawing>
      </w:r>
    </w:p>
    <w:p w14:paraId="396D3E01" w14:textId="2E577DD5"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6E969A87" wp14:editId="4D3EFFBD">
            <wp:extent cx="5943600" cy="236474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4740"/>
                    </a:xfrm>
                    <a:prstGeom prst="rect">
                      <a:avLst/>
                    </a:prstGeom>
                    <a:ln>
                      <a:solidFill>
                        <a:schemeClr val="tx1"/>
                      </a:solidFill>
                    </a:ln>
                  </pic:spPr>
                </pic:pic>
              </a:graphicData>
            </a:graphic>
          </wp:inline>
        </w:drawing>
      </w:r>
    </w:p>
    <w:p w14:paraId="6D832AEB" w14:textId="11D9A3D6" w:rsidR="003E3E76" w:rsidRPr="00A83B2E" w:rsidRDefault="003E3E76"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25AF5773" wp14:editId="47DE108C">
            <wp:extent cx="5943600" cy="2334260"/>
            <wp:effectExtent l="19050" t="19050" r="1905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4260"/>
                    </a:xfrm>
                    <a:prstGeom prst="rect">
                      <a:avLst/>
                    </a:prstGeom>
                    <a:ln>
                      <a:solidFill>
                        <a:schemeClr val="tx1"/>
                      </a:solidFill>
                    </a:ln>
                  </pic:spPr>
                </pic:pic>
              </a:graphicData>
            </a:graphic>
          </wp:inline>
        </w:drawing>
      </w:r>
    </w:p>
    <w:p w14:paraId="656F0642" w14:textId="55932818" w:rsidR="00D53F6A" w:rsidRPr="00A83B2E" w:rsidRDefault="00D53F6A" w:rsidP="00A83B2E">
      <w:pPr>
        <w:rPr>
          <w:rFonts w:ascii="Times New Roman" w:hAnsi="Times New Roman" w:cs="Times New Roman"/>
          <w:sz w:val="24"/>
          <w:szCs w:val="24"/>
        </w:rPr>
      </w:pPr>
      <w:r w:rsidRPr="00A83B2E">
        <w:rPr>
          <w:rFonts w:ascii="Times New Roman" w:hAnsi="Times New Roman" w:cs="Times New Roman"/>
          <w:noProof/>
          <w:sz w:val="24"/>
          <w:szCs w:val="24"/>
        </w:rPr>
        <w:lastRenderedPageBreak/>
        <w:drawing>
          <wp:inline distT="0" distB="0" distL="0" distR="0" wp14:anchorId="706300EB" wp14:editId="66AE1906">
            <wp:extent cx="5943600" cy="2320290"/>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290"/>
                    </a:xfrm>
                    <a:prstGeom prst="rect">
                      <a:avLst/>
                    </a:prstGeom>
                    <a:ln>
                      <a:solidFill>
                        <a:schemeClr val="tx1"/>
                      </a:solidFill>
                    </a:ln>
                  </pic:spPr>
                </pic:pic>
              </a:graphicData>
            </a:graphic>
          </wp:inline>
        </w:drawing>
      </w:r>
    </w:p>
    <w:p w14:paraId="09760D5E" w14:textId="70ED59D3" w:rsidR="00D53F6A" w:rsidRPr="00A83B2E" w:rsidRDefault="00D53F6A"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2734B407" wp14:editId="2FCC6FBF">
            <wp:extent cx="5943600" cy="2484120"/>
            <wp:effectExtent l="19050" t="19050" r="1905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4120"/>
                    </a:xfrm>
                    <a:prstGeom prst="rect">
                      <a:avLst/>
                    </a:prstGeom>
                    <a:ln>
                      <a:solidFill>
                        <a:schemeClr val="tx1"/>
                      </a:solidFill>
                    </a:ln>
                  </pic:spPr>
                </pic:pic>
              </a:graphicData>
            </a:graphic>
          </wp:inline>
        </w:drawing>
      </w:r>
    </w:p>
    <w:p w14:paraId="5C9BD715" w14:textId="54F5EEE4" w:rsidR="00D53F6A" w:rsidRPr="00A83B2E" w:rsidRDefault="00D53F6A" w:rsidP="00A83B2E">
      <w:pPr>
        <w:rPr>
          <w:rFonts w:ascii="Times New Roman" w:hAnsi="Times New Roman" w:cs="Times New Roman"/>
          <w:sz w:val="24"/>
          <w:szCs w:val="24"/>
        </w:rPr>
      </w:pPr>
      <w:r w:rsidRPr="00A83B2E">
        <w:rPr>
          <w:rFonts w:ascii="Times New Roman" w:hAnsi="Times New Roman" w:cs="Times New Roman"/>
          <w:noProof/>
          <w:sz w:val="24"/>
          <w:szCs w:val="24"/>
        </w:rPr>
        <w:drawing>
          <wp:inline distT="0" distB="0" distL="0" distR="0" wp14:anchorId="74099F0A" wp14:editId="00A0B561">
            <wp:extent cx="5943600" cy="2289175"/>
            <wp:effectExtent l="19050" t="19050" r="1905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9175"/>
                    </a:xfrm>
                    <a:prstGeom prst="rect">
                      <a:avLst/>
                    </a:prstGeom>
                    <a:ln>
                      <a:solidFill>
                        <a:schemeClr val="tx1"/>
                      </a:solidFill>
                    </a:ln>
                  </pic:spPr>
                </pic:pic>
              </a:graphicData>
            </a:graphic>
          </wp:inline>
        </w:drawing>
      </w:r>
    </w:p>
    <w:p w14:paraId="3FAE6D35" w14:textId="052A3DDC" w:rsidR="00A83B2E" w:rsidRPr="0069781F" w:rsidRDefault="00A83B2E" w:rsidP="0069781F">
      <w:pPr>
        <w:jc w:val="both"/>
        <w:rPr>
          <w:rFonts w:ascii="Times New Roman" w:hAnsi="Times New Roman" w:cs="Times New Roman"/>
          <w:sz w:val="24"/>
          <w:szCs w:val="24"/>
        </w:rPr>
      </w:pPr>
    </w:p>
    <w:p w14:paraId="0E297BFA" w14:textId="77777777" w:rsidR="005E1E21" w:rsidRPr="0069781F" w:rsidRDefault="005E1E21" w:rsidP="0069781F">
      <w:pPr>
        <w:jc w:val="both"/>
        <w:rPr>
          <w:rFonts w:ascii="Times New Roman" w:hAnsi="Times New Roman" w:cs="Times New Roman"/>
          <w:sz w:val="24"/>
          <w:szCs w:val="24"/>
        </w:rPr>
      </w:pPr>
      <w:r w:rsidRPr="0069781F">
        <w:rPr>
          <w:rFonts w:ascii="Times New Roman" w:hAnsi="Times New Roman" w:cs="Times New Roman"/>
          <w:sz w:val="24"/>
          <w:szCs w:val="24"/>
        </w:rPr>
        <w:t xml:space="preserve">The respondent-submitted survey form has yielded a notably positive response and reflects satisfaction and appreciation for the effectiveness of the data visualization presented. Respondent </w:t>
      </w:r>
      <w:r w:rsidRPr="0069781F">
        <w:rPr>
          <w:rFonts w:ascii="Times New Roman" w:hAnsi="Times New Roman" w:cs="Times New Roman"/>
          <w:sz w:val="24"/>
          <w:szCs w:val="24"/>
        </w:rPr>
        <w:lastRenderedPageBreak/>
        <w:t xml:space="preserve">expressed their contentment with the clarity and coherence of the data visualization and </w:t>
      </w:r>
      <w:proofErr w:type="spellStart"/>
      <w:r w:rsidRPr="0069781F">
        <w:rPr>
          <w:rFonts w:ascii="Times New Roman" w:hAnsi="Times New Roman" w:cs="Times New Roman"/>
          <w:sz w:val="24"/>
          <w:szCs w:val="24"/>
        </w:rPr>
        <w:t>emphasised</w:t>
      </w:r>
      <w:proofErr w:type="spellEnd"/>
      <w:r w:rsidRPr="0069781F">
        <w:rPr>
          <w:rFonts w:ascii="Times New Roman" w:hAnsi="Times New Roman" w:cs="Times New Roman"/>
          <w:sz w:val="24"/>
          <w:szCs w:val="24"/>
        </w:rPr>
        <w:t xml:space="preserve"> how these data visualization aids have enhanced their understanding of complex information.</w:t>
      </w:r>
    </w:p>
    <w:p w14:paraId="6885E342" w14:textId="77777777" w:rsidR="005E1E21" w:rsidRPr="0069781F" w:rsidRDefault="005E1E21" w:rsidP="0069781F">
      <w:pPr>
        <w:jc w:val="both"/>
        <w:rPr>
          <w:rFonts w:ascii="Times New Roman" w:hAnsi="Times New Roman" w:cs="Times New Roman"/>
          <w:sz w:val="24"/>
          <w:szCs w:val="24"/>
        </w:rPr>
      </w:pPr>
    </w:p>
    <w:p w14:paraId="5345C5CD" w14:textId="01D523E7" w:rsidR="00A73DEC" w:rsidRPr="0069781F" w:rsidRDefault="005E1E21" w:rsidP="0069781F">
      <w:pPr>
        <w:jc w:val="both"/>
        <w:rPr>
          <w:rFonts w:ascii="Times New Roman" w:hAnsi="Times New Roman" w:cs="Times New Roman"/>
          <w:sz w:val="24"/>
          <w:szCs w:val="24"/>
        </w:rPr>
      </w:pPr>
      <w:r w:rsidRPr="0069781F">
        <w:rPr>
          <w:rFonts w:ascii="Times New Roman" w:hAnsi="Times New Roman" w:cs="Times New Roman"/>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r w:rsidR="0069781F" w:rsidRPr="0069781F">
        <w:rPr>
          <w:rFonts w:ascii="Times New Roman" w:hAnsi="Times New Roman" w:cs="Times New Roman"/>
          <w:sz w:val="24"/>
          <w:szCs w:val="24"/>
        </w:rPr>
        <w:t xml:space="preserve"> </w:t>
      </w:r>
      <w:r w:rsidRPr="0069781F">
        <w:rPr>
          <w:rFonts w:ascii="Times New Roman" w:hAnsi="Times New Roman" w:cs="Times New Roman"/>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69781F" w:rsidRDefault="00C854D3" w:rsidP="0069781F">
      <w:pPr>
        <w:jc w:val="both"/>
        <w:rPr>
          <w:rFonts w:ascii="Times New Roman" w:hAnsi="Times New Roman" w:cs="Times New Roman"/>
          <w:sz w:val="24"/>
          <w:szCs w:val="24"/>
        </w:rPr>
      </w:pPr>
    </w:p>
    <w:p w14:paraId="36C23260" w14:textId="77777777" w:rsidR="00A73DEC" w:rsidRPr="002A377F" w:rsidRDefault="00BD33C7" w:rsidP="002A377F">
      <w:pPr>
        <w:pStyle w:val="Heading1"/>
        <w:numPr>
          <w:ilvl w:val="0"/>
          <w:numId w:val="2"/>
        </w:numPr>
        <w:spacing w:afterLines="26" w:after="62" w:line="26" w:lineRule="atLeast"/>
        <w:jc w:val="both"/>
        <w:rPr>
          <w:rFonts w:ascii="Times New Roman" w:hAnsi="Times New Roman" w:cs="Times New Roman"/>
          <w:b/>
          <w:bCs/>
          <w:color w:val="auto"/>
        </w:rPr>
      </w:pPr>
      <w:bookmarkStart w:id="12" w:name="_Toc149517252"/>
      <w:r w:rsidRPr="002A377F">
        <w:rPr>
          <w:rFonts w:ascii="Times New Roman" w:hAnsi="Times New Roman" w:cs="Times New Roman"/>
          <w:b/>
          <w:bCs/>
          <w:color w:val="auto"/>
        </w:rPr>
        <w:t>Conclusion</w:t>
      </w:r>
      <w:bookmarkEnd w:id="12"/>
      <w:r w:rsidRPr="002A377F">
        <w:rPr>
          <w:rFonts w:ascii="Times New Roman" w:hAnsi="Times New Roman" w:cs="Times New Roman"/>
          <w:b/>
          <w:bCs/>
          <w:color w:val="auto"/>
        </w:rPr>
        <w:t xml:space="preserve"> </w:t>
      </w:r>
    </w:p>
    <w:p w14:paraId="53134BBD" w14:textId="77777777" w:rsidR="00A73DEC" w:rsidRPr="002A377F" w:rsidRDefault="00A73DEC" w:rsidP="002A377F">
      <w:pPr>
        <w:spacing w:afterLines="26" w:after="62" w:line="26" w:lineRule="atLeast"/>
        <w:jc w:val="both"/>
        <w:rPr>
          <w:rFonts w:ascii="Times New Roman" w:hAnsi="Times New Roman" w:cs="Times New Roman"/>
        </w:rPr>
      </w:pPr>
    </w:p>
    <w:p w14:paraId="7B9BF26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 the culmination of this project, we have successfully crafted a comprehensive array of data visualizations, delving deep into various facets of migration in India. By offering insights into unemployment rates, wage disparities, migration reasons, disease correlations, international migration patterns, and population statistics, we have addressed the diverse needs of different user groups, including policymakers, researchers, organizations, and the general public.</w:t>
      </w:r>
    </w:p>
    <w:p w14:paraId="28AEB767"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1BEB29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Key features implemented in the project include the introduction of a color legend, enhancing overall accessibility by providing a clear reference for interpreting data. The implementation of zoom functionality allows users to focus on specific details or gain a broader view of the entire dataset, providing a flexible exploration experience. The search bar filter enables precise filtering, allowing users to explore specific regions or data points based on their input. The inclusion of diverse chart types, such as Pie/Doughnut Charts for wages, Heatmap Charts for wages, Choropleth Maps for the unemployment rate in India (2023), Sunburst Charts for population, and Bubble Charts for immigration patterns, underlines our commitment to providing a holistic view of the data. Additionally, the integration of a form displaying detailed information offers a structured and comprehensive data view.</w:t>
      </w:r>
    </w:p>
    <w:p w14:paraId="1BD5882C"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69D5C0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Adhering to a user-centric approach, our visualizations cater to the specific needs of different user groups. Policymakers can leverage visualizations of unemployment rates and wages for informed decision-making. Researchers can gain valuable insights for academic research through visualizations of migration reasons and population data. Organizations, especially non-governmental organizations, can design targeted intervention measures based on insights into disease and migration correlations. The general public benefits from accessible insights into the reasons and trends of migration in India.</w:t>
      </w:r>
    </w:p>
    <w:p w14:paraId="4846B109"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B028B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 xml:space="preserve">The knowledge acquired throughout this project is substantial. The emphasis on user-centric design principles has underscored its importance. Iterative feedback and refinement have resulted </w:t>
      </w:r>
      <w:r w:rsidRPr="002A377F">
        <w:rPr>
          <w:rFonts w:ascii="Times New Roman" w:hAnsi="Times New Roman" w:cs="Times New Roman"/>
          <w:color w:val="000000"/>
          <w:sz w:val="24"/>
          <w:szCs w:val="24"/>
        </w:rPr>
        <w:lastRenderedPageBreak/>
        <w:t>in visualizations that are not only user-friendly but also highly effective. Striking a balance between aesthetics and functionality has proven crucial, highlighting the need for visualizations to be both informative and engaging.</w:t>
      </w:r>
    </w:p>
    <w:p w14:paraId="0BAE7031"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3E12AE3D"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6DB33AF7" w14:textId="77777777" w:rsidR="00E53D12" w:rsidRPr="00FB2E8F" w:rsidRDefault="00E53D12" w:rsidP="002A377F">
      <w:pPr>
        <w:spacing w:afterLines="26" w:after="62" w:line="26" w:lineRule="atLeast"/>
        <w:jc w:val="both"/>
        <w:rPr>
          <w:rFonts w:ascii="Times New Roman" w:hAnsi="Times New Roman" w:cs="Times New Roman"/>
          <w:color w:val="000000"/>
          <w:sz w:val="24"/>
          <w:szCs w:val="24"/>
          <w:highlight w:val="yellow"/>
        </w:rPr>
      </w:pPr>
    </w:p>
    <w:p w14:paraId="264D7AB6" w14:textId="0FEA09A6" w:rsidR="00A73DEC" w:rsidRPr="008E5250" w:rsidRDefault="00E53D12" w:rsidP="002A377F">
      <w:pPr>
        <w:spacing w:afterLines="26" w:after="62" w:line="26" w:lineRule="atLeast"/>
        <w:jc w:val="both"/>
        <w:rPr>
          <w:rFonts w:ascii="Times New Roman" w:hAnsi="Times New Roman" w:cs="Times New Roman"/>
          <w:sz w:val="20"/>
          <w:szCs w:val="20"/>
        </w:rPr>
      </w:pPr>
      <w:r w:rsidRPr="002A377F">
        <w:rPr>
          <w:rFonts w:ascii="Times New Roman" w:hAnsi="Times New Roman" w:cs="Times New Roman"/>
          <w:color w:val="000000"/>
          <w:sz w:val="24"/>
          <w:szCs w:val="24"/>
        </w:rPr>
        <w:t>In conclusion, this project reinforces the significance of creating impactful visualizations that effectively convey information while considering the diverse needs of the audience. The balance between user engagement, clarity, and the integration of aesthetics and functionality emerges as a critical consideration in the design and development of influential data visualizations. Through this project, we not only enriched our own understanding and experience but also contributed valuable insights for future endeavors in data exploration and visualization.</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EndPr/>
      <w:sdtContent>
        <w:sdt>
          <w:sdtPr>
            <w:rPr>
              <w:rFonts w:ascii="Times New Roman" w:hAnsi="Times New Roman" w:cs="Times New Roman"/>
            </w:rPr>
            <w:id w:val="-879854059"/>
            <w:docPartObj>
              <w:docPartGallery w:val="Bibliographies"/>
              <w:docPartUnique/>
            </w:docPartObj>
          </w:sdtPr>
          <w:sdtEnd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lastRenderedPageBreak/>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24C68" w14:textId="77777777" w:rsidR="009646C5" w:rsidRDefault="009646C5">
      <w:pPr>
        <w:spacing w:line="240" w:lineRule="auto"/>
      </w:pPr>
      <w:r>
        <w:separator/>
      </w:r>
    </w:p>
  </w:endnote>
  <w:endnote w:type="continuationSeparator" w:id="0">
    <w:p w14:paraId="759F2735" w14:textId="77777777" w:rsidR="009646C5" w:rsidRDefault="009646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099A5" w14:textId="77777777" w:rsidR="009646C5" w:rsidRDefault="009646C5">
      <w:pPr>
        <w:spacing w:after="0"/>
      </w:pPr>
      <w:r>
        <w:separator/>
      </w:r>
    </w:p>
  </w:footnote>
  <w:footnote w:type="continuationSeparator" w:id="0">
    <w:p w14:paraId="250B7ACB" w14:textId="77777777" w:rsidR="009646C5" w:rsidRDefault="009646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abstractNumId w:val="3"/>
  </w:num>
  <w:num w:numId="2">
    <w:abstractNumId w:val="9"/>
  </w:num>
  <w:num w:numId="3">
    <w:abstractNumId w:val="8"/>
  </w:num>
  <w:num w:numId="4">
    <w:abstractNumId w:val="0"/>
  </w:num>
  <w:num w:numId="5">
    <w:abstractNumId w:val="10"/>
  </w:num>
  <w:num w:numId="6">
    <w:abstractNumId w:val="2"/>
  </w:num>
  <w:num w:numId="7">
    <w:abstractNumId w:val="1"/>
  </w:num>
  <w:num w:numId="8">
    <w:abstractNumId w:val="15"/>
  </w:num>
  <w:num w:numId="9">
    <w:abstractNumId w:val="11"/>
  </w:num>
  <w:num w:numId="10">
    <w:abstractNumId w:val="12"/>
  </w:num>
  <w:num w:numId="11">
    <w:abstractNumId w:val="6"/>
  </w:num>
  <w:num w:numId="12">
    <w:abstractNumId w:val="14"/>
  </w:num>
  <w:num w:numId="13">
    <w:abstractNumId w:val="5"/>
  </w:num>
  <w:num w:numId="14">
    <w:abstractNumId w:val="7"/>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275AC"/>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37263"/>
    <w:rsid w:val="00150206"/>
    <w:rsid w:val="00156BD9"/>
    <w:rsid w:val="00177AF9"/>
    <w:rsid w:val="00184522"/>
    <w:rsid w:val="00184C7E"/>
    <w:rsid w:val="001874A3"/>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A377F"/>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E3E76"/>
    <w:rsid w:val="003F22DC"/>
    <w:rsid w:val="003F53C0"/>
    <w:rsid w:val="004002DD"/>
    <w:rsid w:val="00412563"/>
    <w:rsid w:val="00412AF9"/>
    <w:rsid w:val="00417218"/>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074D8"/>
    <w:rsid w:val="00510DDC"/>
    <w:rsid w:val="005214A6"/>
    <w:rsid w:val="00523BB4"/>
    <w:rsid w:val="005257AA"/>
    <w:rsid w:val="0052787F"/>
    <w:rsid w:val="00533308"/>
    <w:rsid w:val="00564625"/>
    <w:rsid w:val="005802B7"/>
    <w:rsid w:val="00580B16"/>
    <w:rsid w:val="00587786"/>
    <w:rsid w:val="005B41B8"/>
    <w:rsid w:val="005B70DF"/>
    <w:rsid w:val="005E0458"/>
    <w:rsid w:val="005E1E21"/>
    <w:rsid w:val="005E40E1"/>
    <w:rsid w:val="005F2522"/>
    <w:rsid w:val="005F7498"/>
    <w:rsid w:val="006005CB"/>
    <w:rsid w:val="00606394"/>
    <w:rsid w:val="00606C41"/>
    <w:rsid w:val="00617BFC"/>
    <w:rsid w:val="00617FC9"/>
    <w:rsid w:val="00645577"/>
    <w:rsid w:val="00646876"/>
    <w:rsid w:val="00650766"/>
    <w:rsid w:val="00651187"/>
    <w:rsid w:val="006554A1"/>
    <w:rsid w:val="006643A7"/>
    <w:rsid w:val="00672D4E"/>
    <w:rsid w:val="00676290"/>
    <w:rsid w:val="00683BE5"/>
    <w:rsid w:val="0069554C"/>
    <w:rsid w:val="0069781F"/>
    <w:rsid w:val="006A3859"/>
    <w:rsid w:val="006B5414"/>
    <w:rsid w:val="006D5017"/>
    <w:rsid w:val="006D6296"/>
    <w:rsid w:val="006E60DA"/>
    <w:rsid w:val="006F0EF1"/>
    <w:rsid w:val="006F5808"/>
    <w:rsid w:val="00706B4B"/>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389D"/>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646C5"/>
    <w:rsid w:val="00985121"/>
    <w:rsid w:val="0098525A"/>
    <w:rsid w:val="00986285"/>
    <w:rsid w:val="0099220E"/>
    <w:rsid w:val="00995AA7"/>
    <w:rsid w:val="009A0C42"/>
    <w:rsid w:val="009A4DE0"/>
    <w:rsid w:val="009B6E38"/>
    <w:rsid w:val="009C4C5E"/>
    <w:rsid w:val="009D35DC"/>
    <w:rsid w:val="009D4CBE"/>
    <w:rsid w:val="009D6594"/>
    <w:rsid w:val="009E6E43"/>
    <w:rsid w:val="009E7964"/>
    <w:rsid w:val="009F499F"/>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83B2E"/>
    <w:rsid w:val="00AA20D6"/>
    <w:rsid w:val="00AA2983"/>
    <w:rsid w:val="00AA4D75"/>
    <w:rsid w:val="00AA5527"/>
    <w:rsid w:val="00AA6D58"/>
    <w:rsid w:val="00AB7845"/>
    <w:rsid w:val="00AC1D8A"/>
    <w:rsid w:val="00AC48FF"/>
    <w:rsid w:val="00AC4FA2"/>
    <w:rsid w:val="00AC7331"/>
    <w:rsid w:val="00AE3C45"/>
    <w:rsid w:val="00AE5ABB"/>
    <w:rsid w:val="00AE6844"/>
    <w:rsid w:val="00AE77AF"/>
    <w:rsid w:val="00AF1BB5"/>
    <w:rsid w:val="00AF7984"/>
    <w:rsid w:val="00B01167"/>
    <w:rsid w:val="00B26FC2"/>
    <w:rsid w:val="00B27B1C"/>
    <w:rsid w:val="00B325D6"/>
    <w:rsid w:val="00B44CCC"/>
    <w:rsid w:val="00B628AE"/>
    <w:rsid w:val="00B70FBE"/>
    <w:rsid w:val="00B77513"/>
    <w:rsid w:val="00B907F3"/>
    <w:rsid w:val="00BA2831"/>
    <w:rsid w:val="00BA7940"/>
    <w:rsid w:val="00BB236D"/>
    <w:rsid w:val="00BD33C7"/>
    <w:rsid w:val="00BD5F5B"/>
    <w:rsid w:val="00BD6D37"/>
    <w:rsid w:val="00BE1DCD"/>
    <w:rsid w:val="00BE610D"/>
    <w:rsid w:val="00BE6DDD"/>
    <w:rsid w:val="00BF5C3D"/>
    <w:rsid w:val="00BF785D"/>
    <w:rsid w:val="00C04697"/>
    <w:rsid w:val="00C067AE"/>
    <w:rsid w:val="00C15B72"/>
    <w:rsid w:val="00C20770"/>
    <w:rsid w:val="00C20BA3"/>
    <w:rsid w:val="00C238EE"/>
    <w:rsid w:val="00C278AD"/>
    <w:rsid w:val="00C32BA0"/>
    <w:rsid w:val="00C43FAA"/>
    <w:rsid w:val="00C455D6"/>
    <w:rsid w:val="00C503A3"/>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4890"/>
    <w:rsid w:val="00D46893"/>
    <w:rsid w:val="00D47D08"/>
    <w:rsid w:val="00D53F6A"/>
    <w:rsid w:val="00D561B1"/>
    <w:rsid w:val="00D67887"/>
    <w:rsid w:val="00D76025"/>
    <w:rsid w:val="00D80021"/>
    <w:rsid w:val="00D8005D"/>
    <w:rsid w:val="00D81B06"/>
    <w:rsid w:val="00D8779E"/>
    <w:rsid w:val="00D9021F"/>
    <w:rsid w:val="00DA6474"/>
    <w:rsid w:val="00DB2A8E"/>
    <w:rsid w:val="00DB7FDF"/>
    <w:rsid w:val="00DD3045"/>
    <w:rsid w:val="00DD360D"/>
    <w:rsid w:val="00DE08E6"/>
    <w:rsid w:val="00DF1AEC"/>
    <w:rsid w:val="00DF1D0E"/>
    <w:rsid w:val="00E000F5"/>
    <w:rsid w:val="00E21CA3"/>
    <w:rsid w:val="00E30F68"/>
    <w:rsid w:val="00E34164"/>
    <w:rsid w:val="00E351AF"/>
    <w:rsid w:val="00E37B22"/>
    <w:rsid w:val="00E4148E"/>
    <w:rsid w:val="00E53D12"/>
    <w:rsid w:val="00E74583"/>
    <w:rsid w:val="00E80CE2"/>
    <w:rsid w:val="00E87D91"/>
    <w:rsid w:val="00E91863"/>
    <w:rsid w:val="00EA74AE"/>
    <w:rsid w:val="00EB1C65"/>
    <w:rsid w:val="00EB79BB"/>
    <w:rsid w:val="00EC1477"/>
    <w:rsid w:val="00EC6C3C"/>
    <w:rsid w:val="00ED0D10"/>
    <w:rsid w:val="00ED1144"/>
    <w:rsid w:val="00ED4DB2"/>
    <w:rsid w:val="00ED5A5E"/>
    <w:rsid w:val="00EE746B"/>
    <w:rsid w:val="00EF1E05"/>
    <w:rsid w:val="00F02B09"/>
    <w:rsid w:val="00F1312A"/>
    <w:rsid w:val="00F14027"/>
    <w:rsid w:val="00F2028D"/>
    <w:rsid w:val="00F23E57"/>
    <w:rsid w:val="00F341ED"/>
    <w:rsid w:val="00F35106"/>
    <w:rsid w:val="00F40D79"/>
    <w:rsid w:val="00F4404C"/>
    <w:rsid w:val="00F71742"/>
    <w:rsid w:val="00F77BAC"/>
    <w:rsid w:val="00F919B8"/>
    <w:rsid w:val="00F93289"/>
    <w:rsid w:val="00F9360C"/>
    <w:rsid w:val="00F97146"/>
    <w:rsid w:val="00FA14AB"/>
    <w:rsid w:val="00FA1C7F"/>
    <w:rsid w:val="00FA4B17"/>
    <w:rsid w:val="00FB2E8F"/>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37</Pages>
  <Words>9520</Words>
  <Characters>54270</Characters>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2023-10-26T15:38:00Z</dcterms:created>
  <dcterms:modified xsi:type="dcterms:W3CDTF">2023-11-20T05:14:00Z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