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E7BED" w14:textId="77777777" w:rsidR="00A550BC" w:rsidRDefault="00A550BC" w:rsidP="00A550BC">
      <w:pPr>
        <w:jc w:val="center"/>
        <w:rPr>
          <w:rFonts w:ascii="Times" w:eastAsia="Times New Roman" w:hAnsi="Times"/>
          <w:color w:val="000000"/>
          <w:sz w:val="27"/>
          <w:szCs w:val="27"/>
          <w:lang w:eastAsia="zh-CN"/>
        </w:rPr>
      </w:pPr>
      <w:r>
        <w:rPr>
          <w:rFonts w:ascii="Times" w:eastAsia="Times New Roman" w:hAnsi="Times"/>
          <w:b/>
          <w:bCs/>
          <w:color w:val="000000"/>
          <w:sz w:val="27"/>
          <w:szCs w:val="27"/>
        </w:rPr>
        <w:t>CSI 5V93, Project 1, Developing and Evaluating Similarity Measures for Hierarchical Data</w:t>
      </w:r>
    </w:p>
    <w:p w14:paraId="2844F63C" w14:textId="77777777" w:rsidR="00A550BC" w:rsidRDefault="00A550BC" w:rsidP="00A550BC">
      <w:pPr>
        <w:pStyle w:val="NormalWeb"/>
        <w:jc w:val="center"/>
        <w:rPr>
          <w:rFonts w:ascii="Times" w:hAnsi="Times"/>
          <w:color w:val="000000"/>
          <w:sz w:val="27"/>
          <w:szCs w:val="27"/>
        </w:rPr>
      </w:pPr>
      <w:r>
        <w:rPr>
          <w:rFonts w:ascii="Times" w:hAnsi="Times"/>
          <w:b/>
          <w:bCs/>
          <w:color w:val="000000"/>
          <w:sz w:val="27"/>
          <w:szCs w:val="27"/>
        </w:rPr>
        <w:t>Report Submission Due Date: 11:59pm, March 5, 2019</w:t>
      </w:r>
    </w:p>
    <w:p w14:paraId="78A72C0B" w14:textId="77777777" w:rsidR="00A550BC" w:rsidRDefault="00A550BC" w:rsidP="00A550BC">
      <w:pPr>
        <w:pStyle w:val="NormalWeb"/>
        <w:jc w:val="center"/>
        <w:rPr>
          <w:rFonts w:ascii="Times" w:hAnsi="Times"/>
          <w:color w:val="000000"/>
          <w:sz w:val="27"/>
          <w:szCs w:val="27"/>
        </w:rPr>
      </w:pPr>
      <w:r>
        <w:rPr>
          <w:rFonts w:ascii="Times" w:hAnsi="Times"/>
          <w:color w:val="000000"/>
          <w:sz w:val="27"/>
          <w:szCs w:val="27"/>
        </w:rPr>
        <w:t> </w:t>
      </w:r>
    </w:p>
    <w:p w14:paraId="40519071" w14:textId="77777777" w:rsidR="00A550BC" w:rsidRDefault="00A550BC" w:rsidP="00A550BC">
      <w:pPr>
        <w:pStyle w:val="NormalWeb"/>
        <w:jc w:val="center"/>
        <w:rPr>
          <w:rFonts w:ascii="Times" w:hAnsi="Times"/>
          <w:color w:val="000000"/>
          <w:sz w:val="27"/>
          <w:szCs w:val="27"/>
        </w:rPr>
      </w:pPr>
      <w:r>
        <w:rPr>
          <w:rFonts w:ascii="Times" w:hAnsi="Times"/>
          <w:color w:val="000000"/>
          <w:sz w:val="27"/>
          <w:szCs w:val="27"/>
        </w:rPr>
        <w:t> </w:t>
      </w: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068F4593" w14:textId="77777777" w:rsidTr="00A550BC">
        <w:trPr>
          <w:tblCellSpacing w:w="10" w:type="dxa"/>
        </w:trPr>
        <w:tc>
          <w:tcPr>
            <w:tcW w:w="0" w:type="auto"/>
            <w:vAlign w:val="center"/>
            <w:hideMark/>
          </w:tcPr>
          <w:p w14:paraId="141F0F01" w14:textId="77777777" w:rsidR="00A550BC" w:rsidRDefault="00A550BC">
            <w:pPr>
              <w:rPr>
                <w:rFonts w:ascii="Times" w:eastAsia="Times New Roman" w:hAnsi="Times"/>
              </w:rPr>
            </w:pPr>
            <w:r>
              <w:rPr>
                <w:rFonts w:ascii="Times" w:eastAsia="Times New Roman" w:hAnsi="Times"/>
                <w:b/>
                <w:bCs/>
              </w:rPr>
              <w:t>Background</w:t>
            </w:r>
          </w:p>
        </w:tc>
      </w:tr>
      <w:tr w:rsidR="00A550BC" w14:paraId="06CD7D4B" w14:textId="77777777" w:rsidTr="00A550BC">
        <w:trPr>
          <w:tblCellSpacing w:w="10" w:type="dxa"/>
        </w:trPr>
        <w:tc>
          <w:tcPr>
            <w:tcW w:w="0" w:type="auto"/>
            <w:vAlign w:val="center"/>
            <w:hideMark/>
          </w:tcPr>
          <w:p w14:paraId="416CD252" w14:textId="77777777" w:rsidR="00A550BC" w:rsidRDefault="00A550BC">
            <w:pPr>
              <w:rPr>
                <w:rFonts w:ascii="Times" w:eastAsia="Times New Roman" w:hAnsi="Times"/>
              </w:rPr>
            </w:pPr>
            <w:r>
              <w:rPr>
                <w:rFonts w:ascii="Times" w:eastAsia="Times New Roman" w:hAnsi="Times"/>
              </w:rPr>
              <w:t>Gene Ontology (GO) is one of the most widely used ontology databases, and provides a framework to elucidate biological roles of genes by semantic analysis. GO contains terms in a structured format within three domains. GO also provides extensive annotation data across most model species. Recent studies have proposed that functional similarity between genes can be measured by semantic similarity between GO terms in a hierarchy.</w:t>
            </w:r>
          </w:p>
        </w:tc>
      </w:tr>
    </w:tbl>
    <w:p w14:paraId="144C5022"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0ED6A220" w14:textId="77777777" w:rsidTr="00A550BC">
        <w:trPr>
          <w:tblCellSpacing w:w="10" w:type="dxa"/>
        </w:trPr>
        <w:tc>
          <w:tcPr>
            <w:tcW w:w="0" w:type="auto"/>
            <w:vAlign w:val="center"/>
            <w:hideMark/>
          </w:tcPr>
          <w:p w14:paraId="4EAAF06F" w14:textId="77777777" w:rsidR="00A550BC" w:rsidRDefault="00A550BC">
            <w:pPr>
              <w:rPr>
                <w:rFonts w:ascii="Times New Roman" w:eastAsia="Times New Roman" w:hAnsi="Times New Roman"/>
              </w:rPr>
            </w:pPr>
            <w:r>
              <w:rPr>
                <w:rFonts w:eastAsia="Times New Roman"/>
                <w:b/>
                <w:bCs/>
              </w:rPr>
              <w:t>Description</w:t>
            </w:r>
          </w:p>
        </w:tc>
      </w:tr>
      <w:tr w:rsidR="00A550BC" w14:paraId="1948A7B1" w14:textId="77777777" w:rsidTr="00A550BC">
        <w:trPr>
          <w:tblCellSpacing w:w="10" w:type="dxa"/>
        </w:trPr>
        <w:tc>
          <w:tcPr>
            <w:tcW w:w="0" w:type="auto"/>
            <w:vAlign w:val="center"/>
            <w:hideMark/>
          </w:tcPr>
          <w:p w14:paraId="5B166A42" w14:textId="77777777" w:rsidR="00A550BC" w:rsidRDefault="00A550BC" w:rsidP="00A550BC">
            <w:pPr>
              <w:numPr>
                <w:ilvl w:val="0"/>
                <w:numId w:val="5"/>
              </w:numPr>
              <w:spacing w:before="100" w:beforeAutospacing="1" w:after="100" w:afterAutospacing="1"/>
              <w:rPr>
                <w:rFonts w:eastAsia="Times New Roman"/>
              </w:rPr>
            </w:pPr>
            <w:r>
              <w:rPr>
                <w:rFonts w:eastAsia="Times New Roman"/>
              </w:rPr>
              <w:t>Download the most recent version of human annotation data. Label the nodes in BP and MF ontologies using annotating genes, but exclude IEA annotations.</w:t>
            </w:r>
          </w:p>
          <w:p w14:paraId="05F74E81" w14:textId="77777777" w:rsidR="00A550BC" w:rsidRDefault="00A550BC" w:rsidP="00A550BC">
            <w:pPr>
              <w:numPr>
                <w:ilvl w:val="0"/>
                <w:numId w:val="5"/>
              </w:numPr>
              <w:spacing w:before="100" w:beforeAutospacing="1" w:after="100" w:afterAutospacing="1"/>
              <w:rPr>
                <w:rFonts w:eastAsia="Times New Roman"/>
              </w:rPr>
            </w:pPr>
            <w:r>
              <w:rPr>
                <w:rFonts w:eastAsia="Times New Roman"/>
              </w:rPr>
              <w:t>Read the filtered human PPI (protein-protein interaction) data provided - </w:t>
            </w:r>
            <w:hyperlink r:id="rId5" w:tgtFrame="blank" w:history="1">
              <w:r>
                <w:rPr>
                  <w:rStyle w:val="Hyperlink"/>
                  <w:rFonts w:eastAsia="Times New Roman"/>
                </w:rPr>
                <w:t>August 2018 version in BioGRID</w:t>
              </w:r>
            </w:hyperlink>
            <w:r>
              <w:rPr>
                <w:rFonts w:eastAsia="Times New Roman"/>
              </w:rPr>
              <w:t>. If an interacting pair was not annotated together to BP terms or MF terms, then remove the pair.</w:t>
            </w:r>
          </w:p>
          <w:p w14:paraId="7B8B6D3F" w14:textId="77777777" w:rsidR="00A550BC" w:rsidRDefault="00A550BC" w:rsidP="00A550BC">
            <w:pPr>
              <w:numPr>
                <w:ilvl w:val="0"/>
                <w:numId w:val="5"/>
              </w:numPr>
              <w:spacing w:before="100" w:beforeAutospacing="1" w:after="100" w:afterAutospacing="1"/>
              <w:rPr>
                <w:rFonts w:eastAsia="Times New Roman"/>
              </w:rPr>
            </w:pPr>
            <w:r>
              <w:rPr>
                <w:rFonts w:eastAsia="Times New Roman"/>
                <w:b/>
                <w:bCs/>
              </w:rPr>
              <w:t>Implement four semantic similarity measures</w:t>
            </w:r>
            <w:r>
              <w:rPr>
                <w:rFonts w:eastAsia="Times New Roman"/>
              </w:rPr>
              <w:t>:</w:t>
            </w:r>
          </w:p>
          <w:p w14:paraId="2EEB078B"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normalized depth-based measure (edge-based)</w:t>
            </w:r>
          </w:p>
          <w:p w14:paraId="098D2A81"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normalized common anscestors-based measure by Jaccard index (node-based)</w:t>
            </w:r>
          </w:p>
          <w:p w14:paraId="07A44386"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normalized information theoretic measure</w:t>
            </w:r>
          </w:p>
          <w:p w14:paraId="43BF290C"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integrative measure of node-based and information theoretic.</w:t>
            </w:r>
          </w:p>
          <w:p w14:paraId="17968223" w14:textId="77777777" w:rsidR="00A550BC" w:rsidRDefault="00A550BC" w:rsidP="00A550BC">
            <w:pPr>
              <w:numPr>
                <w:ilvl w:val="0"/>
                <w:numId w:val="5"/>
              </w:numPr>
              <w:spacing w:before="100" w:beforeAutospacing="1" w:after="100" w:afterAutospacing="1"/>
              <w:rPr>
                <w:rFonts w:eastAsia="Times New Roman"/>
              </w:rPr>
            </w:pPr>
            <w:r>
              <w:rPr>
                <w:rFonts w:eastAsia="Times New Roman"/>
              </w:rPr>
              <w:t>Apply semantic similarity measures to quantify functional similarity of each PPI.</w:t>
            </w:r>
          </w:p>
          <w:p w14:paraId="040B24DA"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For pairwise approaches, aggregate term-to-term semantic similarity scores by best-match averaging.</w:t>
            </w:r>
          </w:p>
          <w:p w14:paraId="3A917226"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Measure semantic similarity on BP and MF ontologies, respectively, and select a larger score between BP and MF for each PPI.</w:t>
            </w:r>
          </w:p>
          <w:p w14:paraId="78D4E30F" w14:textId="77777777" w:rsidR="00A550BC" w:rsidRDefault="00A550BC" w:rsidP="00A550BC">
            <w:pPr>
              <w:numPr>
                <w:ilvl w:val="0"/>
                <w:numId w:val="5"/>
              </w:numPr>
              <w:spacing w:before="100" w:beforeAutospacing="1" w:after="100" w:afterAutospacing="1"/>
              <w:rPr>
                <w:rFonts w:eastAsia="Times New Roman"/>
              </w:rPr>
            </w:pPr>
            <w:r>
              <w:rPr>
                <w:rFonts w:eastAsia="Times New Roman"/>
                <w:b/>
                <w:bCs/>
              </w:rPr>
              <w:t>Develop a new semantic similarity measure</w:t>
            </w:r>
            <w:r>
              <w:rPr>
                <w:rFonts w:eastAsia="Times New Roman"/>
              </w:rPr>
              <w:t> for PPIs.</w:t>
            </w:r>
          </w:p>
          <w:p w14:paraId="1A17ACB0" w14:textId="77777777" w:rsidR="00A550BC" w:rsidRDefault="00A550BC" w:rsidP="00A550BC">
            <w:pPr>
              <w:numPr>
                <w:ilvl w:val="0"/>
                <w:numId w:val="5"/>
              </w:numPr>
              <w:spacing w:before="100" w:beforeAutospacing="1" w:after="100" w:afterAutospacing="1"/>
              <w:rPr>
                <w:rFonts w:eastAsia="Times New Roman"/>
              </w:rPr>
            </w:pPr>
            <w:r>
              <w:rPr>
                <w:rFonts w:eastAsia="Times New Roman"/>
                <w:b/>
                <w:bCs/>
              </w:rPr>
              <w:t>Evaluate the performance of your measure</w:t>
            </w:r>
            <w:r>
              <w:rPr>
                <w:rFonts w:eastAsia="Times New Roman"/>
              </w:rPr>
              <w:t> and the four existing methods of semantic similarity.</w:t>
            </w:r>
          </w:p>
        </w:tc>
      </w:tr>
    </w:tbl>
    <w:p w14:paraId="1355FD48"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8464"/>
      </w:tblGrid>
      <w:tr w:rsidR="00A550BC" w14:paraId="5D965A5E" w14:textId="77777777" w:rsidTr="00A550BC">
        <w:trPr>
          <w:tblCellSpacing w:w="10" w:type="dxa"/>
        </w:trPr>
        <w:tc>
          <w:tcPr>
            <w:tcW w:w="0" w:type="auto"/>
            <w:vAlign w:val="center"/>
            <w:hideMark/>
          </w:tcPr>
          <w:p w14:paraId="64E26DAC" w14:textId="77777777" w:rsidR="00A550BC" w:rsidRDefault="00A550BC">
            <w:pPr>
              <w:rPr>
                <w:rFonts w:ascii="Times New Roman" w:eastAsia="Times New Roman" w:hAnsi="Times New Roman"/>
              </w:rPr>
            </w:pPr>
            <w:r>
              <w:rPr>
                <w:rFonts w:eastAsia="Times New Roman"/>
                <w:b/>
                <w:bCs/>
              </w:rPr>
              <w:t>Submission</w:t>
            </w:r>
          </w:p>
        </w:tc>
      </w:tr>
      <w:tr w:rsidR="00A550BC" w14:paraId="14533FD4" w14:textId="77777777" w:rsidTr="00A550BC">
        <w:trPr>
          <w:tblCellSpacing w:w="10" w:type="dxa"/>
        </w:trPr>
        <w:tc>
          <w:tcPr>
            <w:tcW w:w="0" w:type="auto"/>
            <w:vAlign w:val="center"/>
            <w:hideMark/>
          </w:tcPr>
          <w:p w14:paraId="6C159DCA" w14:textId="77777777" w:rsidR="00A550BC" w:rsidRDefault="00A550BC" w:rsidP="00A550BC">
            <w:pPr>
              <w:numPr>
                <w:ilvl w:val="0"/>
                <w:numId w:val="6"/>
              </w:numPr>
              <w:spacing w:before="100" w:beforeAutospacing="1" w:after="100" w:afterAutospacing="1"/>
              <w:rPr>
                <w:rFonts w:eastAsia="Times New Roman"/>
              </w:rPr>
            </w:pPr>
            <w:r>
              <w:rPr>
                <w:rFonts w:eastAsia="Times New Roman"/>
              </w:rPr>
              <w:t>A report in a research paper style by email attachment (due March 5, Tuesday)</w:t>
            </w:r>
          </w:p>
        </w:tc>
      </w:tr>
    </w:tbl>
    <w:p w14:paraId="58C45BCA"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71A8105D" w14:textId="77777777" w:rsidTr="00A550BC">
        <w:trPr>
          <w:tblCellSpacing w:w="10" w:type="dxa"/>
        </w:trPr>
        <w:tc>
          <w:tcPr>
            <w:tcW w:w="0" w:type="auto"/>
            <w:vAlign w:val="center"/>
            <w:hideMark/>
          </w:tcPr>
          <w:p w14:paraId="000241EF" w14:textId="77777777" w:rsidR="00A550BC" w:rsidRDefault="00A550BC">
            <w:pPr>
              <w:rPr>
                <w:rFonts w:ascii="Times New Roman" w:eastAsia="Times New Roman" w:hAnsi="Times New Roman"/>
              </w:rPr>
            </w:pPr>
            <w:r>
              <w:rPr>
                <w:rFonts w:eastAsia="Times New Roman"/>
                <w:b/>
                <w:bCs/>
              </w:rPr>
              <w:t>Presentations</w:t>
            </w:r>
          </w:p>
        </w:tc>
      </w:tr>
      <w:tr w:rsidR="00A550BC" w14:paraId="0FA8E43A" w14:textId="77777777" w:rsidTr="00A550BC">
        <w:trPr>
          <w:tblCellSpacing w:w="10" w:type="dxa"/>
        </w:trPr>
        <w:tc>
          <w:tcPr>
            <w:tcW w:w="0" w:type="auto"/>
            <w:vAlign w:val="center"/>
            <w:hideMark/>
          </w:tcPr>
          <w:p w14:paraId="5788B5DF" w14:textId="77777777" w:rsidR="00A550BC" w:rsidRDefault="00A550BC" w:rsidP="00A550BC">
            <w:pPr>
              <w:numPr>
                <w:ilvl w:val="0"/>
                <w:numId w:val="7"/>
              </w:numPr>
              <w:spacing w:before="100" w:beforeAutospacing="1" w:after="100" w:afterAutospacing="1"/>
              <w:rPr>
                <w:rFonts w:eastAsia="Times New Roman"/>
              </w:rPr>
            </w:pPr>
            <w:r>
              <w:rPr>
                <w:rFonts w:eastAsia="Times New Roman"/>
              </w:rPr>
              <w:t>Presentation of a recent research paper (previous works) related to this project (on February 5, Tuesday)</w:t>
            </w:r>
          </w:p>
          <w:p w14:paraId="32B61DFB" w14:textId="77777777" w:rsidR="00A550BC" w:rsidRDefault="00A550BC" w:rsidP="00A550BC">
            <w:pPr>
              <w:numPr>
                <w:ilvl w:val="0"/>
                <w:numId w:val="7"/>
              </w:numPr>
              <w:spacing w:before="100" w:beforeAutospacing="1" w:after="100" w:afterAutospacing="1"/>
              <w:rPr>
                <w:rFonts w:eastAsia="Times New Roman"/>
              </w:rPr>
            </w:pPr>
            <w:r>
              <w:rPr>
                <w:rFonts w:eastAsia="Times New Roman"/>
              </w:rPr>
              <w:lastRenderedPageBreak/>
              <w:t>Presentation of your proposed measure, evaluation design, and results (on March 5, Tuesday)</w:t>
            </w:r>
          </w:p>
        </w:tc>
      </w:tr>
    </w:tbl>
    <w:p w14:paraId="5D4847D4"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31D8B07E" w14:textId="77777777" w:rsidTr="00A550BC">
        <w:trPr>
          <w:tblCellSpacing w:w="10" w:type="dxa"/>
        </w:trPr>
        <w:tc>
          <w:tcPr>
            <w:tcW w:w="0" w:type="auto"/>
            <w:vAlign w:val="center"/>
            <w:hideMark/>
          </w:tcPr>
          <w:p w14:paraId="38F88A26" w14:textId="77777777" w:rsidR="00A550BC" w:rsidRDefault="00A550BC">
            <w:pPr>
              <w:rPr>
                <w:rFonts w:ascii="Times New Roman" w:eastAsia="Times New Roman" w:hAnsi="Times New Roman"/>
              </w:rPr>
            </w:pPr>
            <w:r>
              <w:rPr>
                <w:rFonts w:eastAsia="Times New Roman"/>
                <w:b/>
                <w:bCs/>
              </w:rPr>
              <w:t>Related papers</w:t>
            </w:r>
          </w:p>
        </w:tc>
      </w:tr>
      <w:tr w:rsidR="00A550BC" w14:paraId="529D0782" w14:textId="77777777" w:rsidTr="00A550BC">
        <w:trPr>
          <w:tblCellSpacing w:w="10" w:type="dxa"/>
        </w:trPr>
        <w:tc>
          <w:tcPr>
            <w:tcW w:w="0" w:type="auto"/>
            <w:vAlign w:val="center"/>
            <w:hideMark/>
          </w:tcPr>
          <w:p w14:paraId="60F79FB2" w14:textId="77777777" w:rsidR="00A550BC" w:rsidRDefault="00A550BC" w:rsidP="00A550BC">
            <w:pPr>
              <w:numPr>
                <w:ilvl w:val="0"/>
                <w:numId w:val="8"/>
              </w:numPr>
              <w:spacing w:before="100" w:beforeAutospacing="1" w:after="100" w:afterAutospacing="1"/>
              <w:rPr>
                <w:rFonts w:eastAsia="Times New Roman"/>
              </w:rPr>
            </w:pPr>
            <w:r>
              <w:rPr>
                <w:rFonts w:eastAsia="Times New Roman"/>
              </w:rPr>
              <w:t>Required reading</w:t>
            </w:r>
          </w:p>
          <w:p w14:paraId="16B66C46"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Lord et al., "Investigating semantic similarity measures across the Gene Ontology: the relationship between sequence and annotation", </w:t>
            </w:r>
            <w:r>
              <w:rPr>
                <w:rFonts w:eastAsia="Times New Roman"/>
                <w:i/>
                <w:iCs/>
              </w:rPr>
              <w:t>Bioinformatics</w:t>
            </w:r>
            <w:r>
              <w:rPr>
                <w:rFonts w:eastAsia="Times New Roman"/>
              </w:rPr>
              <w:t> (2003)</w:t>
            </w:r>
          </w:p>
          <w:p w14:paraId="6F646F86"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Pesquita et al., "Semantic similarity in biomedical ontologies", </w:t>
            </w:r>
            <w:r>
              <w:rPr>
                <w:rFonts w:eastAsia="Times New Roman"/>
                <w:i/>
                <w:iCs/>
              </w:rPr>
              <w:t>PLoS Computational Biology</w:t>
            </w:r>
            <w:r>
              <w:rPr>
                <w:rFonts w:eastAsia="Times New Roman"/>
              </w:rPr>
              <w:t> (2009)</w:t>
            </w:r>
          </w:p>
          <w:p w14:paraId="7B176D6C"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Wang et al. "Revealing and avoiding bias in semantic similarity scores for protein pairs", </w:t>
            </w:r>
            <w:r>
              <w:rPr>
                <w:rFonts w:eastAsia="Times New Roman"/>
                <w:i/>
                <w:iCs/>
              </w:rPr>
              <w:t>BMC Bioinformatics</w:t>
            </w:r>
            <w:r>
              <w:rPr>
                <w:rFonts w:eastAsia="Times New Roman"/>
              </w:rPr>
              <w:t> (2010)</w:t>
            </w:r>
          </w:p>
          <w:p w14:paraId="4CCDD147"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Cho et al. "M-Finder: Uncovering functionally associated proteins from interactome data integrated with GO annotations". </w:t>
            </w:r>
            <w:r>
              <w:rPr>
                <w:rFonts w:eastAsia="Times New Roman"/>
                <w:i/>
                <w:iCs/>
              </w:rPr>
              <w:t>Proteome Science</w:t>
            </w:r>
            <w:r>
              <w:rPr>
                <w:rFonts w:eastAsia="Times New Roman"/>
              </w:rPr>
              <w:t> (2013)</w:t>
            </w:r>
          </w:p>
          <w:p w14:paraId="0EE2732D" w14:textId="77777777" w:rsidR="00A550BC" w:rsidRDefault="00A550BC" w:rsidP="00A550BC">
            <w:pPr>
              <w:numPr>
                <w:ilvl w:val="0"/>
                <w:numId w:val="8"/>
              </w:numPr>
              <w:spacing w:before="100" w:beforeAutospacing="1" w:after="100" w:afterAutospacing="1"/>
              <w:rPr>
                <w:rFonts w:eastAsia="Times New Roman"/>
              </w:rPr>
            </w:pPr>
            <w:r>
              <w:rPr>
                <w:rFonts w:eastAsia="Times New Roman"/>
              </w:rPr>
              <w:t>Optional reading</w:t>
            </w:r>
          </w:p>
          <w:p w14:paraId="20694BC8"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Alvarez et al. "A shortest-path graph kernel for estimating gene product semantic similarity", </w:t>
            </w:r>
            <w:r>
              <w:rPr>
                <w:rFonts w:eastAsia="Times New Roman"/>
                <w:i/>
                <w:iCs/>
              </w:rPr>
              <w:t>Journal of Biomedical Semantics</w:t>
            </w:r>
            <w:r>
              <w:rPr>
                <w:rFonts w:eastAsia="Times New Roman"/>
              </w:rPr>
              <w:t> (2011)</w:t>
            </w:r>
          </w:p>
          <w:p w14:paraId="028D079C"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Benabderrahmane et al. "IntelliGO: a new vector-based semantic similarity measure including annotation origin", </w:t>
            </w:r>
            <w:r>
              <w:rPr>
                <w:rFonts w:eastAsia="Times New Roman"/>
                <w:i/>
                <w:iCs/>
              </w:rPr>
              <w:t>BMC Bioinformatics</w:t>
            </w:r>
            <w:r>
              <w:rPr>
                <w:rFonts w:eastAsia="Times New Roman"/>
              </w:rPr>
              <w:t> (2010)</w:t>
            </w:r>
          </w:p>
          <w:p w14:paraId="776997E0"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Teng et al. "Measuring gene functional similarity based on group-wise comparison of GO terms", </w:t>
            </w:r>
            <w:r>
              <w:rPr>
                <w:rFonts w:eastAsia="Times New Roman"/>
                <w:i/>
                <w:iCs/>
              </w:rPr>
              <w:t>Bioinformatics</w:t>
            </w:r>
            <w:r>
              <w:rPr>
                <w:rFonts w:eastAsia="Times New Roman"/>
              </w:rPr>
              <w:t> (2013)</w:t>
            </w:r>
          </w:p>
          <w:p w14:paraId="28F47306"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Vafaee et al. "Novel semantic similarity measure improves an integrative approach to predicting gene functional associations", </w:t>
            </w:r>
            <w:r>
              <w:rPr>
                <w:rFonts w:eastAsia="Times New Roman"/>
                <w:i/>
                <w:iCs/>
              </w:rPr>
              <w:t>BMC Systems Biology</w:t>
            </w:r>
            <w:r>
              <w:rPr>
                <w:rFonts w:eastAsia="Times New Roman"/>
              </w:rPr>
              <w:t> (2013)</w:t>
            </w:r>
          </w:p>
          <w:p w14:paraId="44ED8752"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Wu et al. "Improving the measurement of semantic similarity between gene ontology terms and gene products: insights from an edge- and IC-based hybrid method", </w:t>
            </w:r>
            <w:r>
              <w:rPr>
                <w:rFonts w:eastAsia="Times New Roman"/>
                <w:i/>
                <w:iCs/>
              </w:rPr>
              <w:t>PLoS One</w:t>
            </w:r>
            <w:r>
              <w:rPr>
                <w:rFonts w:eastAsia="Times New Roman"/>
              </w:rPr>
              <w:t> (2013)</w:t>
            </w:r>
          </w:p>
          <w:p w14:paraId="676D1BF8"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Song et al. "Measure the semantic similarity of GO terms using aggregate information content", </w:t>
            </w:r>
            <w:r>
              <w:rPr>
                <w:rFonts w:eastAsia="Times New Roman"/>
                <w:i/>
                <w:iCs/>
              </w:rPr>
              <w:t>IEEE/ACM TCBB</w:t>
            </w:r>
            <w:r>
              <w:rPr>
                <w:rFonts w:eastAsia="Times New Roman"/>
              </w:rPr>
              <w:t> (2013)</w:t>
            </w:r>
          </w:p>
          <w:p w14:paraId="5FD6E85C"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Jain et al. "An improved method for scoring protein-protein interactions using semantic similarity within the gene ontology", </w:t>
            </w:r>
            <w:r>
              <w:rPr>
                <w:rFonts w:eastAsia="Times New Roman"/>
                <w:i/>
                <w:iCs/>
              </w:rPr>
              <w:t>BMC Bioinformatics</w:t>
            </w:r>
            <w:r>
              <w:rPr>
                <w:rFonts w:eastAsia="Times New Roman"/>
              </w:rPr>
              <w:t> (2010)</w:t>
            </w:r>
          </w:p>
        </w:tc>
      </w:tr>
    </w:tbl>
    <w:p w14:paraId="09AB69D7" w14:textId="77777777" w:rsidR="00F82E89" w:rsidRDefault="00F82E89" w:rsidP="00A550BC">
      <w:pPr>
        <w:rPr>
          <w:rFonts w:hint="eastAsia"/>
          <w:lang w:eastAsia="zh-CN"/>
        </w:rPr>
      </w:pPr>
    </w:p>
    <w:p w14:paraId="4EEDDECA" w14:textId="77777777" w:rsidR="00F54552" w:rsidRDefault="00F54552" w:rsidP="00A550BC">
      <w:pPr>
        <w:rPr>
          <w:rFonts w:hint="eastAsia"/>
          <w:lang w:eastAsia="zh-CN"/>
        </w:rPr>
      </w:pPr>
    </w:p>
    <w:p w14:paraId="1688D87B" w14:textId="038DDB87" w:rsidR="00F54552" w:rsidRPr="00A550BC" w:rsidRDefault="00396024" w:rsidP="00A550BC">
      <w:pPr>
        <w:rPr>
          <w:rFonts w:hint="eastAsia"/>
          <w:lang w:eastAsia="zh-CN"/>
        </w:rPr>
      </w:pPr>
      <w:r>
        <w:rPr>
          <w:rFonts w:hint="eastAsia"/>
          <w:lang w:eastAsia="zh-CN"/>
        </w:rPr>
        <w:t xml:space="preserve">1 </w:t>
      </w:r>
      <w:bookmarkStart w:id="0" w:name="_GoBack"/>
      <w:bookmarkEnd w:id="0"/>
      <w:r w:rsidR="00F54552">
        <w:rPr>
          <w:rFonts w:hint="eastAsia"/>
          <w:lang w:eastAsia="zh-CN"/>
        </w:rPr>
        <w:t>If one node is annoted as gene, all its parents is also annoted..</w:t>
      </w:r>
    </w:p>
    <w:sectPr w:rsidR="00F54552" w:rsidRPr="00A550BC" w:rsidSect="001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B72"/>
    <w:multiLevelType w:val="multilevel"/>
    <w:tmpl w:val="FA6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76A0A"/>
    <w:multiLevelType w:val="multilevel"/>
    <w:tmpl w:val="C27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D2680"/>
    <w:multiLevelType w:val="multilevel"/>
    <w:tmpl w:val="8EAC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F64CB"/>
    <w:multiLevelType w:val="multilevel"/>
    <w:tmpl w:val="07D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113B5"/>
    <w:multiLevelType w:val="multilevel"/>
    <w:tmpl w:val="665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50F16"/>
    <w:multiLevelType w:val="multilevel"/>
    <w:tmpl w:val="BD747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97272"/>
    <w:multiLevelType w:val="multilevel"/>
    <w:tmpl w:val="BE4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897E8A"/>
    <w:multiLevelType w:val="multilevel"/>
    <w:tmpl w:val="9F38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40"/>
    <w:rsid w:val="001A4D1E"/>
    <w:rsid w:val="00396024"/>
    <w:rsid w:val="00A550BC"/>
    <w:rsid w:val="00B81740"/>
    <w:rsid w:val="00F54552"/>
    <w:rsid w:val="00F82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6446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740"/>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B8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6270">
      <w:bodyDiv w:val="1"/>
      <w:marLeft w:val="0"/>
      <w:marRight w:val="0"/>
      <w:marTop w:val="0"/>
      <w:marBottom w:val="0"/>
      <w:divBdr>
        <w:top w:val="none" w:sz="0" w:space="0" w:color="auto"/>
        <w:left w:val="none" w:sz="0" w:space="0" w:color="auto"/>
        <w:bottom w:val="none" w:sz="0" w:space="0" w:color="auto"/>
        <w:right w:val="none" w:sz="0" w:space="0" w:color="auto"/>
      </w:divBdr>
    </w:div>
    <w:div w:id="11988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ecs.baylor.edu/faculty/cho/5V93/biogrid_human_ppi_cln.tx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3152</Characters>
  <Application>Microsoft Macintosh Word</Application>
  <DocSecurity>0</DocSecurity>
  <Lines>26</Lines>
  <Paragraphs>7</Paragraphs>
  <ScaleCrop>false</ScaleCrop>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磊</dc:creator>
  <cp:keywords/>
  <dc:description/>
  <cp:lastModifiedBy>郑 磊</cp:lastModifiedBy>
  <cp:revision>6</cp:revision>
  <dcterms:created xsi:type="dcterms:W3CDTF">2019-01-27T05:58:00Z</dcterms:created>
  <dcterms:modified xsi:type="dcterms:W3CDTF">2019-02-17T17:09:00Z</dcterms:modified>
</cp:coreProperties>
</file>